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B02C1" w14:textId="77777777" w:rsidR="00E508C6" w:rsidRPr="0016191E" w:rsidRDefault="00E508C6" w:rsidP="00E508C6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  <w:r w:rsidRPr="0016191E">
        <w:rPr>
          <w:rFonts w:ascii="Times New Roman" w:hAnsi="Times New Roman"/>
          <w:b/>
          <w:color w:val="000000"/>
          <w:lang w:val="bg-BG"/>
        </w:rPr>
        <w:t>Приложение №1</w:t>
      </w:r>
    </w:p>
    <w:p w14:paraId="4F639BB7" w14:textId="77777777" w:rsidR="0016191E" w:rsidRPr="0016191E" w:rsidRDefault="0016191E" w:rsidP="0016191E">
      <w:pPr>
        <w:keepNext/>
        <w:keepLines/>
        <w:spacing w:before="60" w:after="60"/>
        <w:ind w:right="299"/>
        <w:jc w:val="center"/>
        <w:outlineLvl w:val="0"/>
        <w:rPr>
          <w:rFonts w:ascii="Times New Roman" w:hAnsi="Times New Roman"/>
          <w:b/>
          <w:kern w:val="32"/>
          <w:lang w:val="bg-BG"/>
        </w:rPr>
      </w:pPr>
      <w:r w:rsidRPr="0016191E">
        <w:rPr>
          <w:rFonts w:ascii="Times New Roman" w:hAnsi="Times New Roman"/>
          <w:b/>
          <w:kern w:val="32"/>
          <w:lang w:val="bg-BG"/>
        </w:rPr>
        <w:t>РАЗДЕЛ А: ТЕХНИЧЕСКО ЗАДАНИЕ – ПРЕДМЕТ НА ДОГОВОРА</w:t>
      </w:r>
    </w:p>
    <w:p w14:paraId="3B59AAD3" w14:textId="77777777" w:rsidR="0016191E" w:rsidRPr="0016191E" w:rsidRDefault="0016191E" w:rsidP="0016191E">
      <w:pPr>
        <w:pStyle w:val="ListParagraph"/>
        <w:numPr>
          <w:ilvl w:val="0"/>
          <w:numId w:val="29"/>
        </w:numPr>
        <w:spacing w:before="120" w:after="120"/>
        <w:jc w:val="both"/>
        <w:rPr>
          <w:rFonts w:ascii="Times New Roman" w:hAnsi="Times New Roman"/>
          <w:b/>
          <w:lang w:val="bg-BG"/>
        </w:rPr>
      </w:pPr>
      <w:r w:rsidRPr="0016191E">
        <w:rPr>
          <w:rFonts w:ascii="Times New Roman" w:hAnsi="Times New Roman"/>
          <w:b/>
          <w:lang w:val="bg-BG"/>
        </w:rPr>
        <w:t>Технически спецификации и изисквания към изпълнението на услугата:</w:t>
      </w:r>
    </w:p>
    <w:p w14:paraId="79FB3757" w14:textId="77777777" w:rsidR="0016191E" w:rsidRPr="0016191E" w:rsidRDefault="0016191E" w:rsidP="0016191E">
      <w:pPr>
        <w:pStyle w:val="ListParagraph"/>
        <w:numPr>
          <w:ilvl w:val="1"/>
          <w:numId w:val="29"/>
        </w:numPr>
        <w:spacing w:before="120" w:after="120"/>
        <w:ind w:left="0" w:firstLine="142"/>
        <w:jc w:val="both"/>
        <w:rPr>
          <w:rFonts w:ascii="Times New Roman" w:hAnsi="Times New Roman"/>
          <w:b/>
          <w:lang w:val="bg-BG"/>
        </w:rPr>
      </w:pPr>
      <w:r w:rsidRPr="0016191E">
        <w:rPr>
          <w:rFonts w:ascii="Times New Roman" w:hAnsi="Times New Roman"/>
          <w:b/>
          <w:lang w:val="bg-BG"/>
        </w:rPr>
        <w:t>Предмет на извършените услуги</w:t>
      </w:r>
    </w:p>
    <w:p w14:paraId="35870AE1" w14:textId="77777777" w:rsidR="0016191E" w:rsidRPr="0016191E" w:rsidRDefault="0016191E" w:rsidP="0016191E">
      <w:pPr>
        <w:jc w:val="both"/>
        <w:rPr>
          <w:rFonts w:ascii="Times New Roman" w:hAnsi="Times New Roman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>Възложителят възлага, а изпълнителят приема да извършва обучение</w:t>
      </w:r>
      <w:r w:rsidRPr="0016191E">
        <w:rPr>
          <w:rFonts w:ascii="Times New Roman" w:hAnsi="Times New Roman"/>
          <w:i/>
          <w:lang w:val="bg-BG"/>
        </w:rPr>
        <w:t xml:space="preserve"> </w:t>
      </w:r>
      <w:r w:rsidRPr="0016191E">
        <w:rPr>
          <w:rFonts w:ascii="Times New Roman" w:hAnsi="Times New Roman"/>
          <w:lang w:val="bg-BG"/>
        </w:rPr>
        <w:t>за потвърждаване или придобиване на 2-ра</w:t>
      </w:r>
      <w:r w:rsidRPr="0016191E">
        <w:rPr>
          <w:rFonts w:ascii="Times New Roman" w:hAnsi="Times New Roman"/>
          <w:b/>
          <w:lang w:val="bg-BG"/>
        </w:rPr>
        <w:t>,</w:t>
      </w:r>
      <w:r w:rsidRPr="0016191E">
        <w:rPr>
          <w:rFonts w:ascii="Times New Roman" w:hAnsi="Times New Roman"/>
          <w:lang w:val="bg-BG"/>
        </w:rPr>
        <w:t xml:space="preserve"> 3-та, 4-та или 5-та квалификационна група по </w:t>
      </w:r>
      <w:proofErr w:type="spellStart"/>
      <w:r w:rsidRPr="0016191E">
        <w:rPr>
          <w:rFonts w:ascii="Times New Roman" w:hAnsi="Times New Roman"/>
          <w:lang w:val="bg-BG"/>
        </w:rPr>
        <w:t>електробезопасност</w:t>
      </w:r>
      <w:proofErr w:type="spellEnd"/>
      <w:r w:rsidRPr="0016191E">
        <w:rPr>
          <w:rFonts w:ascii="Times New Roman" w:hAnsi="Times New Roman"/>
          <w:lang w:val="bg-BG"/>
        </w:rPr>
        <w:t xml:space="preserve"> при работа с напрежение до 1 000 V и над 1 000 V</w:t>
      </w:r>
      <w:r w:rsidRPr="0016191E">
        <w:rPr>
          <w:rFonts w:ascii="Times New Roman" w:eastAsia="Calibri" w:hAnsi="Times New Roman"/>
          <w:lang w:val="bg-BG"/>
        </w:rPr>
        <w:t xml:space="preserve">, </w:t>
      </w:r>
      <w:r w:rsidRPr="0016191E">
        <w:rPr>
          <w:rFonts w:ascii="Times New Roman" w:hAnsi="Times New Roman"/>
          <w:bCs/>
          <w:color w:val="000000"/>
          <w:kern w:val="32"/>
          <w:lang w:val="bg-BG"/>
        </w:rPr>
        <w:t>съобразно следните изисквания:</w:t>
      </w:r>
      <w:r w:rsidRPr="0016191E">
        <w:rPr>
          <w:rFonts w:ascii="Times New Roman" w:hAnsi="Times New Roman"/>
          <w:lang w:val="bg-BG"/>
        </w:rPr>
        <w:t xml:space="preserve"> </w:t>
      </w:r>
    </w:p>
    <w:p w14:paraId="18B92066" w14:textId="77777777" w:rsidR="0016191E" w:rsidRPr="0016191E" w:rsidRDefault="0016191E" w:rsidP="0016191E">
      <w:pPr>
        <w:pStyle w:val="ListParagraph"/>
        <w:numPr>
          <w:ilvl w:val="2"/>
          <w:numId w:val="29"/>
        </w:numPr>
        <w:spacing w:before="120" w:after="120"/>
        <w:ind w:left="0" w:firstLine="284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>Да проведе периодични обучения, по предварително съгласуван график за служителите, подлежащи на потвърждаване или придобиване на група. Изпълнителят, в двуседмичен срок от Възлагането, потвърждава предложения график за обучение.</w:t>
      </w:r>
    </w:p>
    <w:p w14:paraId="111CA78C" w14:textId="77777777" w:rsidR="0016191E" w:rsidRPr="0016191E" w:rsidRDefault="0016191E" w:rsidP="0016191E">
      <w:pPr>
        <w:pStyle w:val="ListParagraph"/>
        <w:numPr>
          <w:ilvl w:val="2"/>
          <w:numId w:val="29"/>
        </w:numPr>
        <w:spacing w:before="120" w:after="120"/>
        <w:ind w:left="0" w:firstLine="284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Да проведе извънредни обучения при необходимост от обучение на </w:t>
      </w:r>
      <w:proofErr w:type="spellStart"/>
      <w:r w:rsidRPr="0016191E">
        <w:rPr>
          <w:rFonts w:ascii="Times New Roman" w:hAnsi="Times New Roman"/>
          <w:bCs/>
          <w:color w:val="000000"/>
          <w:kern w:val="32"/>
          <w:lang w:val="bg-BG"/>
        </w:rPr>
        <w:t>новопостъпили</w:t>
      </w:r>
      <w:proofErr w:type="spellEnd"/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/преназначени служители, които трябва да придобият квалификационна група по </w:t>
      </w:r>
      <w:proofErr w:type="spellStart"/>
      <w:r w:rsidRPr="0016191E">
        <w:rPr>
          <w:rFonts w:ascii="Times New Roman" w:hAnsi="Times New Roman"/>
          <w:bCs/>
          <w:color w:val="000000"/>
          <w:kern w:val="32"/>
          <w:lang w:val="bg-BG"/>
        </w:rPr>
        <w:t>електробезопасност</w:t>
      </w:r>
      <w:proofErr w:type="spellEnd"/>
      <w:r w:rsidRPr="0016191E">
        <w:rPr>
          <w:rFonts w:ascii="Times New Roman" w:hAnsi="Times New Roman"/>
          <w:bCs/>
          <w:color w:val="000000"/>
          <w:kern w:val="32"/>
          <w:lang w:val="bg-BG"/>
        </w:rPr>
        <w:t>. Изпълнителят в едноседмичен срок от Възлагането провежда обучение на служителите на Възложителя.</w:t>
      </w:r>
    </w:p>
    <w:p w14:paraId="13546C12" w14:textId="77777777" w:rsidR="0016191E" w:rsidRPr="0016191E" w:rsidRDefault="0016191E" w:rsidP="0016191E">
      <w:pPr>
        <w:pStyle w:val="ListParagraph"/>
        <w:numPr>
          <w:ilvl w:val="2"/>
          <w:numId w:val="29"/>
        </w:numPr>
        <w:spacing w:before="120" w:after="120"/>
        <w:ind w:left="0" w:firstLine="284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>Да проведе обучение в присъствена форма; теоретична и практическа част: решаване на казуси; представяне на добри практики;</w:t>
      </w:r>
    </w:p>
    <w:p w14:paraId="28C2A996" w14:textId="77777777" w:rsidR="0016191E" w:rsidRPr="0016191E" w:rsidRDefault="0016191E" w:rsidP="0016191E">
      <w:pPr>
        <w:pStyle w:val="ListParagraph"/>
        <w:numPr>
          <w:ilvl w:val="2"/>
          <w:numId w:val="29"/>
        </w:numPr>
        <w:spacing w:before="120" w:after="120"/>
        <w:ind w:left="0" w:firstLine="284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>Да проведе обучение по предоставена програма за всяка квалификационна група, обхващаща образователния минимум от знания и умения за теоретична и практическа подготовка, необходими за придобиване на съответната квалификационна група и за съответната продължителност на обучението.</w:t>
      </w:r>
    </w:p>
    <w:p w14:paraId="4EF09810" w14:textId="77777777" w:rsidR="0016191E" w:rsidRPr="0016191E" w:rsidRDefault="0016191E" w:rsidP="0016191E">
      <w:pPr>
        <w:pStyle w:val="ListParagraph"/>
        <w:numPr>
          <w:ilvl w:val="2"/>
          <w:numId w:val="29"/>
        </w:numPr>
        <w:spacing w:before="120" w:after="120"/>
        <w:ind w:left="0" w:firstLine="284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>Да проведе обучение по следната методика: Демонстрационни макети и модели, онагледяващи табла, учебни видеофилми, програмни продукти, демонстрационни практически модели / добри практики.</w:t>
      </w:r>
    </w:p>
    <w:p w14:paraId="7F067CF8" w14:textId="77777777" w:rsidR="0016191E" w:rsidRPr="0016191E" w:rsidRDefault="0016191E" w:rsidP="0016191E">
      <w:pPr>
        <w:pStyle w:val="ListParagraph"/>
        <w:numPr>
          <w:ilvl w:val="2"/>
          <w:numId w:val="29"/>
        </w:numPr>
        <w:spacing w:before="120" w:after="120"/>
        <w:ind w:left="0" w:firstLine="284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>Да проведе обучение по представена  програма за обучение за различните квалификационни групи със съответната минимална продължителност, по изискванията на съответния правилник, както следва:</w:t>
      </w:r>
    </w:p>
    <w:p w14:paraId="36F52A29" w14:textId="3543D82B" w:rsidR="0016191E" w:rsidRDefault="0016191E" w:rsidP="0016191E">
      <w:pPr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За обученията за работа с напрежение </w:t>
      </w:r>
      <w:r w:rsidRPr="0016191E">
        <w:rPr>
          <w:rFonts w:ascii="Times New Roman" w:hAnsi="Times New Roman"/>
          <w:b/>
          <w:bCs/>
          <w:color w:val="000000"/>
          <w:kern w:val="32"/>
          <w:lang w:val="bg-BG"/>
        </w:rPr>
        <w:t>до 1000 V</w:t>
      </w:r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 по Правилник за безопасност и здраве при работа по електрообзавеждането до 1000V: </w:t>
      </w:r>
    </w:p>
    <w:p w14:paraId="06C8B647" w14:textId="77777777" w:rsidR="00A77E36" w:rsidRPr="0016191E" w:rsidRDefault="00A77E36" w:rsidP="0016191E">
      <w:pPr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3013"/>
        <w:gridCol w:w="3020"/>
      </w:tblGrid>
      <w:tr w:rsidR="0016191E" w:rsidRPr="0016191E" w14:paraId="08623D2D" w14:textId="77777777" w:rsidTr="00F74F34">
        <w:tc>
          <w:tcPr>
            <w:tcW w:w="3055" w:type="dxa"/>
            <w:shd w:val="clear" w:color="auto" w:fill="auto"/>
          </w:tcPr>
          <w:p w14:paraId="765F284E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Квалификационна група</w:t>
            </w:r>
          </w:p>
        </w:tc>
        <w:tc>
          <w:tcPr>
            <w:tcW w:w="3055" w:type="dxa"/>
            <w:shd w:val="clear" w:color="auto" w:fill="auto"/>
          </w:tcPr>
          <w:p w14:paraId="3B9A2821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Периодично обучение</w:t>
            </w:r>
          </w:p>
        </w:tc>
        <w:tc>
          <w:tcPr>
            <w:tcW w:w="3056" w:type="dxa"/>
            <w:shd w:val="clear" w:color="auto" w:fill="auto"/>
          </w:tcPr>
          <w:p w14:paraId="24025421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Първоначално обучение</w:t>
            </w:r>
          </w:p>
        </w:tc>
      </w:tr>
      <w:tr w:rsidR="0016191E" w:rsidRPr="0016191E" w14:paraId="58C44BF8" w14:textId="77777777" w:rsidTr="00F74F34">
        <w:trPr>
          <w:trHeight w:val="204"/>
        </w:trPr>
        <w:tc>
          <w:tcPr>
            <w:tcW w:w="3055" w:type="dxa"/>
            <w:shd w:val="clear" w:color="auto" w:fill="auto"/>
          </w:tcPr>
          <w:p w14:paraId="3BD189E4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II кв. група</w:t>
            </w:r>
          </w:p>
        </w:tc>
        <w:tc>
          <w:tcPr>
            <w:tcW w:w="3055" w:type="dxa"/>
            <w:shd w:val="clear" w:color="auto" w:fill="auto"/>
          </w:tcPr>
          <w:p w14:paraId="70A3BF8D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 xml:space="preserve">3 </w:t>
            </w:r>
            <w:proofErr w:type="spellStart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уч</w:t>
            </w:r>
            <w:proofErr w:type="spellEnd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. часа</w:t>
            </w:r>
          </w:p>
        </w:tc>
        <w:tc>
          <w:tcPr>
            <w:tcW w:w="3056" w:type="dxa"/>
            <w:shd w:val="clear" w:color="auto" w:fill="auto"/>
          </w:tcPr>
          <w:p w14:paraId="54F86840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 xml:space="preserve">4 </w:t>
            </w:r>
            <w:proofErr w:type="spellStart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уч</w:t>
            </w:r>
            <w:proofErr w:type="spellEnd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. часа</w:t>
            </w:r>
          </w:p>
        </w:tc>
      </w:tr>
      <w:tr w:rsidR="0016191E" w:rsidRPr="0016191E" w14:paraId="68360C68" w14:textId="77777777" w:rsidTr="00F74F34">
        <w:tc>
          <w:tcPr>
            <w:tcW w:w="3055" w:type="dxa"/>
            <w:shd w:val="clear" w:color="auto" w:fill="auto"/>
          </w:tcPr>
          <w:p w14:paraId="7DA3586F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III кв. група</w:t>
            </w:r>
          </w:p>
        </w:tc>
        <w:tc>
          <w:tcPr>
            <w:tcW w:w="3055" w:type="dxa"/>
            <w:shd w:val="clear" w:color="auto" w:fill="auto"/>
          </w:tcPr>
          <w:p w14:paraId="7E849760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 xml:space="preserve">6 </w:t>
            </w:r>
            <w:proofErr w:type="spellStart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уч</w:t>
            </w:r>
            <w:proofErr w:type="spellEnd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. часа</w:t>
            </w:r>
          </w:p>
        </w:tc>
        <w:tc>
          <w:tcPr>
            <w:tcW w:w="3056" w:type="dxa"/>
            <w:shd w:val="clear" w:color="auto" w:fill="auto"/>
          </w:tcPr>
          <w:p w14:paraId="3FB04439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 xml:space="preserve">8 </w:t>
            </w:r>
            <w:proofErr w:type="spellStart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уч</w:t>
            </w:r>
            <w:proofErr w:type="spellEnd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. часа</w:t>
            </w:r>
          </w:p>
        </w:tc>
      </w:tr>
      <w:tr w:rsidR="0016191E" w:rsidRPr="0016191E" w14:paraId="3E194317" w14:textId="77777777" w:rsidTr="00F74F34">
        <w:tc>
          <w:tcPr>
            <w:tcW w:w="3055" w:type="dxa"/>
            <w:shd w:val="clear" w:color="auto" w:fill="auto"/>
          </w:tcPr>
          <w:p w14:paraId="7C86D97B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IV кв. група</w:t>
            </w:r>
          </w:p>
        </w:tc>
        <w:tc>
          <w:tcPr>
            <w:tcW w:w="3055" w:type="dxa"/>
            <w:shd w:val="clear" w:color="auto" w:fill="auto"/>
          </w:tcPr>
          <w:p w14:paraId="5C522C82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 xml:space="preserve">9 </w:t>
            </w:r>
            <w:proofErr w:type="spellStart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уч</w:t>
            </w:r>
            <w:proofErr w:type="spellEnd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. часа</w:t>
            </w:r>
          </w:p>
        </w:tc>
        <w:tc>
          <w:tcPr>
            <w:tcW w:w="3056" w:type="dxa"/>
            <w:shd w:val="clear" w:color="auto" w:fill="auto"/>
          </w:tcPr>
          <w:p w14:paraId="5782558F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 xml:space="preserve">12 </w:t>
            </w:r>
            <w:proofErr w:type="spellStart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уч</w:t>
            </w:r>
            <w:proofErr w:type="spellEnd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. часа</w:t>
            </w:r>
          </w:p>
        </w:tc>
      </w:tr>
      <w:tr w:rsidR="0016191E" w:rsidRPr="0016191E" w14:paraId="770F2C20" w14:textId="77777777" w:rsidTr="00F74F34">
        <w:tc>
          <w:tcPr>
            <w:tcW w:w="3055" w:type="dxa"/>
            <w:shd w:val="clear" w:color="auto" w:fill="auto"/>
          </w:tcPr>
          <w:p w14:paraId="6A2F91A9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V кв. група</w:t>
            </w:r>
          </w:p>
        </w:tc>
        <w:tc>
          <w:tcPr>
            <w:tcW w:w="3055" w:type="dxa"/>
            <w:shd w:val="clear" w:color="auto" w:fill="auto"/>
          </w:tcPr>
          <w:p w14:paraId="3DF3E519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 xml:space="preserve">13.5 </w:t>
            </w:r>
            <w:proofErr w:type="spellStart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уч</w:t>
            </w:r>
            <w:proofErr w:type="spellEnd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. часа</w:t>
            </w:r>
          </w:p>
        </w:tc>
        <w:tc>
          <w:tcPr>
            <w:tcW w:w="3056" w:type="dxa"/>
            <w:shd w:val="clear" w:color="auto" w:fill="auto"/>
          </w:tcPr>
          <w:p w14:paraId="50A8CEB7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 xml:space="preserve">18 </w:t>
            </w:r>
            <w:proofErr w:type="spellStart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уч</w:t>
            </w:r>
            <w:proofErr w:type="spellEnd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. часа</w:t>
            </w:r>
          </w:p>
        </w:tc>
      </w:tr>
    </w:tbl>
    <w:p w14:paraId="1C1CCC2D" w14:textId="77777777" w:rsidR="0016191E" w:rsidRPr="0016191E" w:rsidRDefault="0016191E" w:rsidP="0016191E">
      <w:pPr>
        <w:rPr>
          <w:rFonts w:ascii="Times New Roman" w:hAnsi="Times New Roman"/>
          <w:bCs/>
          <w:color w:val="000000"/>
          <w:kern w:val="32"/>
          <w:lang w:val="bg-BG"/>
        </w:rPr>
      </w:pPr>
    </w:p>
    <w:p w14:paraId="17D19A44" w14:textId="7CDFEAE9" w:rsidR="0016191E" w:rsidRDefault="0016191E" w:rsidP="0016191E">
      <w:pPr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За обученията за работа с напрежение </w:t>
      </w:r>
      <w:r w:rsidRPr="0016191E">
        <w:rPr>
          <w:rFonts w:ascii="Times New Roman" w:hAnsi="Times New Roman"/>
          <w:b/>
          <w:bCs/>
          <w:color w:val="000000"/>
          <w:kern w:val="32"/>
          <w:lang w:val="bg-BG"/>
        </w:rPr>
        <w:t>над 1000 V</w:t>
      </w:r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 - Правилник за безопасност и здраве при работа в електрически уредби на електрически и топлофикационни централи и по електрически мрежи</w:t>
      </w:r>
      <w:r w:rsidR="00A77E36">
        <w:rPr>
          <w:rFonts w:ascii="Times New Roman" w:hAnsi="Times New Roman"/>
          <w:bCs/>
          <w:color w:val="000000"/>
          <w:kern w:val="32"/>
          <w:lang w:val="bg-BG"/>
        </w:rPr>
        <w:t>:</w:t>
      </w:r>
    </w:p>
    <w:p w14:paraId="0F13924A" w14:textId="77777777" w:rsidR="00A77E36" w:rsidRPr="0016191E" w:rsidRDefault="00A77E36" w:rsidP="0016191E">
      <w:pPr>
        <w:rPr>
          <w:rFonts w:ascii="Times New Roman" w:hAnsi="Times New Roman"/>
          <w:bCs/>
          <w:color w:val="000000"/>
          <w:kern w:val="3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3013"/>
        <w:gridCol w:w="3020"/>
      </w:tblGrid>
      <w:tr w:rsidR="0016191E" w:rsidRPr="0016191E" w14:paraId="1AA4A437" w14:textId="77777777" w:rsidTr="00F74F34">
        <w:tc>
          <w:tcPr>
            <w:tcW w:w="3055" w:type="dxa"/>
            <w:shd w:val="clear" w:color="auto" w:fill="auto"/>
          </w:tcPr>
          <w:p w14:paraId="5F17D3DB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Квалификационна група</w:t>
            </w:r>
          </w:p>
        </w:tc>
        <w:tc>
          <w:tcPr>
            <w:tcW w:w="3055" w:type="dxa"/>
            <w:shd w:val="clear" w:color="auto" w:fill="auto"/>
          </w:tcPr>
          <w:p w14:paraId="30275865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Периодично обучение</w:t>
            </w:r>
          </w:p>
        </w:tc>
        <w:tc>
          <w:tcPr>
            <w:tcW w:w="3056" w:type="dxa"/>
            <w:shd w:val="clear" w:color="auto" w:fill="auto"/>
          </w:tcPr>
          <w:p w14:paraId="7076DA61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Първоначално обучение</w:t>
            </w:r>
          </w:p>
        </w:tc>
      </w:tr>
      <w:tr w:rsidR="0016191E" w:rsidRPr="0016191E" w14:paraId="636350C4" w14:textId="77777777" w:rsidTr="00F74F34">
        <w:tc>
          <w:tcPr>
            <w:tcW w:w="3055" w:type="dxa"/>
            <w:shd w:val="clear" w:color="auto" w:fill="auto"/>
          </w:tcPr>
          <w:p w14:paraId="393C97E4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II кв. група</w:t>
            </w:r>
          </w:p>
        </w:tc>
        <w:tc>
          <w:tcPr>
            <w:tcW w:w="3055" w:type="dxa"/>
            <w:shd w:val="clear" w:color="auto" w:fill="auto"/>
          </w:tcPr>
          <w:p w14:paraId="649BCB5C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 xml:space="preserve">2.5 </w:t>
            </w:r>
            <w:proofErr w:type="spellStart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уч</w:t>
            </w:r>
            <w:proofErr w:type="spellEnd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. часа</w:t>
            </w:r>
          </w:p>
        </w:tc>
        <w:tc>
          <w:tcPr>
            <w:tcW w:w="3056" w:type="dxa"/>
            <w:shd w:val="clear" w:color="auto" w:fill="auto"/>
          </w:tcPr>
          <w:p w14:paraId="47D577D7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 xml:space="preserve">4 </w:t>
            </w:r>
            <w:proofErr w:type="spellStart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уч</w:t>
            </w:r>
            <w:proofErr w:type="spellEnd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. часа</w:t>
            </w:r>
          </w:p>
        </w:tc>
      </w:tr>
      <w:tr w:rsidR="0016191E" w:rsidRPr="0016191E" w14:paraId="51A66616" w14:textId="77777777" w:rsidTr="00F74F34">
        <w:tc>
          <w:tcPr>
            <w:tcW w:w="3055" w:type="dxa"/>
            <w:shd w:val="clear" w:color="auto" w:fill="auto"/>
          </w:tcPr>
          <w:p w14:paraId="741E4AFD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III кв. група</w:t>
            </w:r>
          </w:p>
        </w:tc>
        <w:tc>
          <w:tcPr>
            <w:tcW w:w="3055" w:type="dxa"/>
            <w:shd w:val="clear" w:color="auto" w:fill="auto"/>
          </w:tcPr>
          <w:p w14:paraId="492FB94E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 xml:space="preserve">4 </w:t>
            </w:r>
            <w:proofErr w:type="spellStart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уч</w:t>
            </w:r>
            <w:proofErr w:type="spellEnd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. часа</w:t>
            </w:r>
          </w:p>
        </w:tc>
        <w:tc>
          <w:tcPr>
            <w:tcW w:w="3056" w:type="dxa"/>
            <w:shd w:val="clear" w:color="auto" w:fill="auto"/>
          </w:tcPr>
          <w:p w14:paraId="46E4C6AB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 xml:space="preserve">8 </w:t>
            </w:r>
            <w:proofErr w:type="spellStart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уч</w:t>
            </w:r>
            <w:proofErr w:type="spellEnd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. часа</w:t>
            </w:r>
          </w:p>
        </w:tc>
      </w:tr>
      <w:tr w:rsidR="0016191E" w:rsidRPr="0016191E" w14:paraId="210E2050" w14:textId="77777777" w:rsidTr="00F74F34">
        <w:tc>
          <w:tcPr>
            <w:tcW w:w="3055" w:type="dxa"/>
            <w:shd w:val="clear" w:color="auto" w:fill="auto"/>
          </w:tcPr>
          <w:p w14:paraId="77A73D45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IV кв. група</w:t>
            </w:r>
          </w:p>
        </w:tc>
        <w:tc>
          <w:tcPr>
            <w:tcW w:w="3055" w:type="dxa"/>
            <w:shd w:val="clear" w:color="auto" w:fill="auto"/>
          </w:tcPr>
          <w:p w14:paraId="65E673C1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 xml:space="preserve">8 </w:t>
            </w:r>
            <w:proofErr w:type="spellStart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уч</w:t>
            </w:r>
            <w:proofErr w:type="spellEnd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. часа</w:t>
            </w:r>
          </w:p>
        </w:tc>
        <w:tc>
          <w:tcPr>
            <w:tcW w:w="3056" w:type="dxa"/>
            <w:shd w:val="clear" w:color="auto" w:fill="auto"/>
          </w:tcPr>
          <w:p w14:paraId="54F39E56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 xml:space="preserve">16 </w:t>
            </w:r>
            <w:proofErr w:type="spellStart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уч</w:t>
            </w:r>
            <w:proofErr w:type="spellEnd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. часа</w:t>
            </w:r>
          </w:p>
        </w:tc>
      </w:tr>
      <w:tr w:rsidR="0016191E" w:rsidRPr="0016191E" w14:paraId="3CDD4531" w14:textId="77777777" w:rsidTr="00F74F34">
        <w:tc>
          <w:tcPr>
            <w:tcW w:w="3055" w:type="dxa"/>
            <w:shd w:val="clear" w:color="auto" w:fill="auto"/>
          </w:tcPr>
          <w:p w14:paraId="35FA5316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V кв. група</w:t>
            </w:r>
          </w:p>
        </w:tc>
        <w:tc>
          <w:tcPr>
            <w:tcW w:w="3055" w:type="dxa"/>
            <w:shd w:val="clear" w:color="auto" w:fill="auto"/>
          </w:tcPr>
          <w:p w14:paraId="5F524B68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 xml:space="preserve">12 </w:t>
            </w:r>
            <w:proofErr w:type="spellStart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уч</w:t>
            </w:r>
            <w:proofErr w:type="spellEnd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. часа</w:t>
            </w:r>
          </w:p>
        </w:tc>
        <w:tc>
          <w:tcPr>
            <w:tcW w:w="3056" w:type="dxa"/>
            <w:shd w:val="clear" w:color="auto" w:fill="auto"/>
          </w:tcPr>
          <w:p w14:paraId="7323BB81" w14:textId="77777777" w:rsidR="0016191E" w:rsidRPr="0016191E" w:rsidRDefault="0016191E" w:rsidP="00F74F34">
            <w:pPr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</w:pPr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 xml:space="preserve">24 </w:t>
            </w:r>
            <w:proofErr w:type="spellStart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уч</w:t>
            </w:r>
            <w:proofErr w:type="spellEnd"/>
            <w:r w:rsidRPr="0016191E">
              <w:rPr>
                <w:rFonts w:ascii="Times New Roman" w:hAnsi="Times New Roman"/>
                <w:bCs/>
                <w:color w:val="000000"/>
                <w:kern w:val="32"/>
                <w:lang w:val="bg-BG"/>
              </w:rPr>
              <w:t>. часа</w:t>
            </w:r>
          </w:p>
        </w:tc>
      </w:tr>
    </w:tbl>
    <w:p w14:paraId="0FB43010" w14:textId="77777777" w:rsidR="0016191E" w:rsidRPr="0016191E" w:rsidRDefault="0016191E" w:rsidP="0016191E">
      <w:pPr>
        <w:pStyle w:val="ListParagraph"/>
        <w:numPr>
          <w:ilvl w:val="0"/>
          <w:numId w:val="23"/>
        </w:numPr>
        <w:spacing w:before="120" w:after="120"/>
        <w:contextualSpacing w:val="0"/>
        <w:jc w:val="both"/>
        <w:outlineLvl w:val="0"/>
        <w:rPr>
          <w:rFonts w:ascii="Times New Roman" w:hAnsi="Times New Roman"/>
          <w:bCs/>
          <w:vanish/>
          <w:color w:val="000000"/>
          <w:kern w:val="32"/>
          <w:lang w:val="bg-BG"/>
        </w:rPr>
      </w:pPr>
    </w:p>
    <w:p w14:paraId="0EA47F53" w14:textId="77777777" w:rsidR="0016191E" w:rsidRPr="0016191E" w:rsidRDefault="0016191E" w:rsidP="0016191E">
      <w:pPr>
        <w:pStyle w:val="ListParagraph"/>
        <w:numPr>
          <w:ilvl w:val="1"/>
          <w:numId w:val="23"/>
        </w:numPr>
        <w:spacing w:before="120" w:after="120"/>
        <w:contextualSpacing w:val="0"/>
        <w:jc w:val="both"/>
        <w:outlineLvl w:val="0"/>
        <w:rPr>
          <w:rFonts w:ascii="Times New Roman" w:hAnsi="Times New Roman"/>
          <w:bCs/>
          <w:vanish/>
          <w:color w:val="000000"/>
          <w:kern w:val="32"/>
          <w:lang w:val="bg-BG"/>
        </w:rPr>
      </w:pPr>
    </w:p>
    <w:p w14:paraId="57B55EC1" w14:textId="77777777" w:rsidR="0016191E" w:rsidRPr="0016191E" w:rsidRDefault="0016191E" w:rsidP="0016191E">
      <w:pPr>
        <w:pStyle w:val="ListParagraph"/>
        <w:spacing w:before="120" w:after="120"/>
        <w:ind w:left="142"/>
        <w:jc w:val="both"/>
        <w:rPr>
          <w:rFonts w:ascii="Times New Roman" w:hAnsi="Times New Roman"/>
          <w:b/>
          <w:lang w:val="bg-BG"/>
        </w:rPr>
      </w:pPr>
    </w:p>
    <w:p w14:paraId="6400F684" w14:textId="77777777" w:rsidR="0016191E" w:rsidRPr="0016191E" w:rsidRDefault="0016191E" w:rsidP="0016191E">
      <w:pPr>
        <w:pStyle w:val="ListParagraph"/>
        <w:numPr>
          <w:ilvl w:val="1"/>
          <w:numId w:val="29"/>
        </w:numPr>
        <w:spacing w:before="120" w:after="120"/>
        <w:ind w:left="0" w:firstLine="142"/>
        <w:jc w:val="both"/>
        <w:rPr>
          <w:rFonts w:ascii="Times New Roman" w:hAnsi="Times New Roman"/>
          <w:b/>
          <w:lang w:val="bg-BG"/>
        </w:rPr>
      </w:pPr>
      <w:r w:rsidRPr="0016191E">
        <w:rPr>
          <w:rFonts w:ascii="Times New Roman" w:hAnsi="Times New Roman"/>
          <w:b/>
          <w:lang w:val="bg-BG"/>
        </w:rPr>
        <w:t xml:space="preserve">Прогнозен брой участници и параметри на обучението.  </w:t>
      </w:r>
    </w:p>
    <w:p w14:paraId="13FE0F15" w14:textId="77777777" w:rsidR="0016191E" w:rsidRPr="0016191E" w:rsidRDefault="0016191E" w:rsidP="0016191E">
      <w:pPr>
        <w:spacing w:before="120" w:after="120"/>
        <w:jc w:val="both"/>
        <w:rPr>
          <w:rFonts w:ascii="Times New Roman" w:hAnsi="Times New Roman"/>
          <w:lang w:val="bg-BG"/>
        </w:rPr>
      </w:pPr>
      <w:r w:rsidRPr="0016191E">
        <w:rPr>
          <w:rFonts w:ascii="Times New Roman" w:hAnsi="Times New Roman"/>
          <w:b/>
          <w:lang w:val="bg-BG"/>
        </w:rPr>
        <w:lastRenderedPageBreak/>
        <w:t xml:space="preserve">    </w:t>
      </w:r>
      <w:r w:rsidRPr="0016191E">
        <w:rPr>
          <w:rFonts w:ascii="Times New Roman" w:hAnsi="Times New Roman"/>
          <w:lang w:val="bg-BG"/>
        </w:rPr>
        <w:t xml:space="preserve">За обученията за работа с напрежение </w:t>
      </w:r>
      <w:r w:rsidRPr="0016191E">
        <w:rPr>
          <w:rFonts w:ascii="Times New Roman" w:hAnsi="Times New Roman"/>
          <w:b/>
          <w:lang w:val="bg-BG"/>
        </w:rPr>
        <w:t>до 1000 V</w:t>
      </w:r>
      <w:r w:rsidRPr="0016191E">
        <w:rPr>
          <w:rFonts w:ascii="Times New Roman" w:hAnsi="Times New Roman"/>
          <w:lang w:val="bg-BG"/>
        </w:rPr>
        <w:t xml:space="preserve"> по Правилник за безопасност и здраве при работа по електрообзавеждането до 1000V:     </w:t>
      </w:r>
    </w:p>
    <w:tbl>
      <w:tblPr>
        <w:tblW w:w="905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8"/>
        <w:gridCol w:w="2343"/>
        <w:gridCol w:w="3308"/>
      </w:tblGrid>
      <w:tr w:rsidR="0016191E" w:rsidRPr="0016191E" w14:paraId="53A86FB4" w14:textId="77777777" w:rsidTr="00F74F34">
        <w:trPr>
          <w:trHeight w:val="383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460A" w14:textId="77777777" w:rsidR="0016191E" w:rsidRPr="0016191E" w:rsidRDefault="0016191E" w:rsidP="00F74F3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Квалификационна група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A3F5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Първоначално обучение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BBEE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Периодично обучение</w:t>
            </w:r>
          </w:p>
        </w:tc>
      </w:tr>
      <w:tr w:rsidR="0016191E" w:rsidRPr="0016191E" w14:paraId="3D38E9B8" w14:textId="77777777" w:rsidTr="00F74F34">
        <w:trPr>
          <w:trHeight w:val="312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28D9" w14:textId="77777777" w:rsidR="0016191E" w:rsidRPr="0016191E" w:rsidRDefault="0016191E" w:rsidP="00F74F34">
            <w:pPr>
              <w:jc w:val="both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>II кв. група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1294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>200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9A73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 xml:space="preserve">     При необходимост</w:t>
            </w:r>
          </w:p>
        </w:tc>
      </w:tr>
      <w:tr w:rsidR="0016191E" w:rsidRPr="0016191E" w14:paraId="4C046C76" w14:textId="77777777" w:rsidTr="00F74F34">
        <w:trPr>
          <w:trHeight w:val="312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1DAC" w14:textId="77777777" w:rsidR="0016191E" w:rsidRPr="0016191E" w:rsidRDefault="0016191E" w:rsidP="00F74F34">
            <w:pPr>
              <w:jc w:val="both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>III кв. група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238D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>200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D0C9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 xml:space="preserve">     При необходимост</w:t>
            </w:r>
          </w:p>
        </w:tc>
      </w:tr>
      <w:tr w:rsidR="0016191E" w:rsidRPr="0016191E" w14:paraId="5C79B575" w14:textId="77777777" w:rsidTr="00F74F34">
        <w:trPr>
          <w:trHeight w:val="312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C29B" w14:textId="77777777" w:rsidR="0016191E" w:rsidRPr="0016191E" w:rsidRDefault="0016191E" w:rsidP="00F74F34">
            <w:pPr>
              <w:jc w:val="both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>IV кв. група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A90D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>25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0B0D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 xml:space="preserve">     При необходимост</w:t>
            </w:r>
          </w:p>
        </w:tc>
      </w:tr>
      <w:tr w:rsidR="0016191E" w:rsidRPr="0016191E" w14:paraId="3752417B" w14:textId="77777777" w:rsidTr="00F74F34">
        <w:trPr>
          <w:trHeight w:val="312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2B23" w14:textId="77777777" w:rsidR="0016191E" w:rsidRPr="0016191E" w:rsidRDefault="0016191E" w:rsidP="00F74F34">
            <w:pPr>
              <w:jc w:val="both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>V кв. група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AB30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>25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499A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 xml:space="preserve">     При необходимост</w:t>
            </w:r>
          </w:p>
        </w:tc>
      </w:tr>
    </w:tbl>
    <w:p w14:paraId="69A6EFC9" w14:textId="77777777" w:rsidR="0016191E" w:rsidRPr="0016191E" w:rsidRDefault="0016191E" w:rsidP="0016191E">
      <w:pPr>
        <w:keepNext/>
        <w:keepLines/>
        <w:spacing w:before="120" w:after="120"/>
        <w:jc w:val="both"/>
        <w:rPr>
          <w:rFonts w:ascii="Times New Roman" w:hAnsi="Times New Roman"/>
          <w:lang w:val="bg-BG"/>
        </w:rPr>
      </w:pPr>
    </w:p>
    <w:p w14:paraId="4449E5A2" w14:textId="77777777" w:rsidR="0016191E" w:rsidRPr="0016191E" w:rsidRDefault="0016191E" w:rsidP="0016191E">
      <w:pPr>
        <w:keepNext/>
        <w:keepLines/>
        <w:spacing w:before="120" w:after="120"/>
        <w:jc w:val="both"/>
        <w:rPr>
          <w:rFonts w:ascii="Times New Roman" w:hAnsi="Times New Roman"/>
          <w:lang w:val="bg-BG"/>
        </w:rPr>
      </w:pPr>
      <w:r w:rsidRPr="0016191E">
        <w:rPr>
          <w:rFonts w:ascii="Times New Roman" w:hAnsi="Times New Roman"/>
          <w:lang w:val="bg-BG"/>
        </w:rPr>
        <w:t xml:space="preserve">За обученията за работа с напрежение </w:t>
      </w:r>
      <w:r w:rsidRPr="0016191E">
        <w:rPr>
          <w:rFonts w:ascii="Times New Roman" w:hAnsi="Times New Roman"/>
          <w:b/>
          <w:lang w:val="bg-BG"/>
        </w:rPr>
        <w:t>над 1000 V</w:t>
      </w:r>
      <w:r w:rsidRPr="0016191E">
        <w:rPr>
          <w:rFonts w:ascii="Times New Roman" w:hAnsi="Times New Roman"/>
          <w:lang w:val="bg-BG"/>
        </w:rPr>
        <w:t xml:space="preserve"> по Правилник за безопасност и здраве при работа в електрически уредби на електрически и топлофикационни централи и по електрически мрежи:</w:t>
      </w:r>
    </w:p>
    <w:tbl>
      <w:tblPr>
        <w:tblW w:w="919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8"/>
        <w:gridCol w:w="2313"/>
        <w:gridCol w:w="3016"/>
      </w:tblGrid>
      <w:tr w:rsidR="0016191E" w:rsidRPr="0016191E" w14:paraId="033AA840" w14:textId="77777777" w:rsidTr="00F74F34">
        <w:trPr>
          <w:trHeight w:val="400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5C1B" w14:textId="77777777" w:rsidR="0016191E" w:rsidRPr="0016191E" w:rsidRDefault="0016191E" w:rsidP="00F74F3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Квалификационна група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5300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Първоначално обучение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DCA7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Периодично обучение</w:t>
            </w:r>
          </w:p>
        </w:tc>
      </w:tr>
      <w:tr w:rsidR="0016191E" w:rsidRPr="0016191E" w14:paraId="5CBFEABA" w14:textId="77777777" w:rsidTr="00F74F34">
        <w:trPr>
          <w:trHeight w:val="325"/>
        </w:trPr>
        <w:tc>
          <w:tcPr>
            <w:tcW w:w="3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3E7E" w14:textId="77777777" w:rsidR="0016191E" w:rsidRPr="0016191E" w:rsidRDefault="0016191E" w:rsidP="00F74F34">
            <w:pPr>
              <w:jc w:val="both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>II кв. група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5E29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>50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3B82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 xml:space="preserve">     При необходимост</w:t>
            </w:r>
          </w:p>
        </w:tc>
      </w:tr>
      <w:tr w:rsidR="0016191E" w:rsidRPr="0016191E" w14:paraId="02E4A22F" w14:textId="77777777" w:rsidTr="00F74F34">
        <w:trPr>
          <w:trHeight w:val="325"/>
        </w:trPr>
        <w:tc>
          <w:tcPr>
            <w:tcW w:w="3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CF31" w14:textId="77777777" w:rsidR="0016191E" w:rsidRPr="0016191E" w:rsidRDefault="0016191E" w:rsidP="00F74F34">
            <w:pPr>
              <w:jc w:val="both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>III кв. група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5AAD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>120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6A73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 xml:space="preserve">     При необходимост</w:t>
            </w:r>
          </w:p>
        </w:tc>
      </w:tr>
      <w:tr w:rsidR="0016191E" w:rsidRPr="0016191E" w14:paraId="32BDC004" w14:textId="77777777" w:rsidTr="00F74F34">
        <w:trPr>
          <w:trHeight w:val="325"/>
        </w:trPr>
        <w:tc>
          <w:tcPr>
            <w:tcW w:w="3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A7D7" w14:textId="77777777" w:rsidR="0016191E" w:rsidRPr="0016191E" w:rsidRDefault="0016191E" w:rsidP="00F74F34">
            <w:pPr>
              <w:jc w:val="both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>IV кв. група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9083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>50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E548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 xml:space="preserve">     При необходимост</w:t>
            </w:r>
          </w:p>
        </w:tc>
      </w:tr>
      <w:tr w:rsidR="0016191E" w:rsidRPr="0016191E" w14:paraId="35763C90" w14:textId="77777777" w:rsidTr="00F74F34">
        <w:trPr>
          <w:trHeight w:val="325"/>
        </w:trPr>
        <w:tc>
          <w:tcPr>
            <w:tcW w:w="3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3085" w14:textId="77777777" w:rsidR="0016191E" w:rsidRPr="0016191E" w:rsidRDefault="0016191E" w:rsidP="00F74F34">
            <w:pPr>
              <w:jc w:val="both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>V кв. група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3AB5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color w:val="000000"/>
                <w:lang w:eastAsia="bg-BG"/>
              </w:rPr>
            </w:pPr>
            <w:r w:rsidRPr="0016191E">
              <w:rPr>
                <w:rFonts w:ascii="Times New Roman" w:hAnsi="Times New Roman"/>
                <w:color w:val="000000"/>
                <w:lang w:eastAsia="bg-BG"/>
              </w:rPr>
              <w:t>30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E3CF" w14:textId="77777777" w:rsidR="0016191E" w:rsidRPr="0016191E" w:rsidRDefault="0016191E" w:rsidP="00F74F34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6191E">
              <w:rPr>
                <w:rFonts w:ascii="Times New Roman" w:hAnsi="Times New Roman"/>
                <w:color w:val="000000"/>
                <w:lang w:val="bg-BG" w:eastAsia="bg-BG"/>
              </w:rPr>
              <w:t xml:space="preserve">     При необходимост</w:t>
            </w:r>
          </w:p>
        </w:tc>
      </w:tr>
    </w:tbl>
    <w:p w14:paraId="13FE3B47" w14:textId="77777777" w:rsidR="0016191E" w:rsidRPr="0016191E" w:rsidRDefault="0016191E" w:rsidP="0016191E">
      <w:pPr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        Обучението се провежда съгласно съгласувания между страните график за обучение.</w:t>
      </w:r>
    </w:p>
    <w:p w14:paraId="1B34D9E7" w14:textId="77777777" w:rsidR="0016191E" w:rsidRPr="0016191E" w:rsidRDefault="0016191E" w:rsidP="0016191E">
      <w:pPr>
        <w:pStyle w:val="ListParagraph"/>
        <w:numPr>
          <w:ilvl w:val="0"/>
          <w:numId w:val="24"/>
        </w:numPr>
        <w:spacing w:before="120" w:after="120"/>
        <w:contextualSpacing w:val="0"/>
        <w:jc w:val="both"/>
        <w:outlineLvl w:val="0"/>
        <w:rPr>
          <w:rFonts w:ascii="Times New Roman" w:hAnsi="Times New Roman"/>
          <w:snapToGrid w:val="0"/>
          <w:vanish/>
          <w:lang w:val="bg-BG"/>
        </w:rPr>
      </w:pPr>
    </w:p>
    <w:p w14:paraId="559834DB" w14:textId="77777777" w:rsidR="0016191E" w:rsidRPr="0016191E" w:rsidRDefault="0016191E" w:rsidP="0016191E">
      <w:pPr>
        <w:pStyle w:val="ListParagraph"/>
        <w:numPr>
          <w:ilvl w:val="1"/>
          <w:numId w:val="24"/>
        </w:numPr>
        <w:spacing w:before="120" w:after="120"/>
        <w:contextualSpacing w:val="0"/>
        <w:jc w:val="both"/>
        <w:outlineLvl w:val="0"/>
        <w:rPr>
          <w:rFonts w:ascii="Times New Roman" w:hAnsi="Times New Roman"/>
          <w:snapToGrid w:val="0"/>
          <w:vanish/>
          <w:lang w:val="bg-BG"/>
        </w:rPr>
      </w:pPr>
    </w:p>
    <w:p w14:paraId="4B308967" w14:textId="77777777" w:rsidR="0016191E" w:rsidRPr="0016191E" w:rsidRDefault="0016191E" w:rsidP="0016191E">
      <w:pPr>
        <w:pStyle w:val="ListParagraph"/>
        <w:numPr>
          <w:ilvl w:val="1"/>
          <w:numId w:val="24"/>
        </w:numPr>
        <w:spacing w:before="120" w:after="120"/>
        <w:contextualSpacing w:val="0"/>
        <w:jc w:val="both"/>
        <w:outlineLvl w:val="0"/>
        <w:rPr>
          <w:rFonts w:ascii="Times New Roman" w:hAnsi="Times New Roman"/>
          <w:snapToGrid w:val="0"/>
          <w:vanish/>
          <w:lang w:val="bg-BG"/>
        </w:rPr>
      </w:pPr>
    </w:p>
    <w:p w14:paraId="20141813" w14:textId="77777777" w:rsidR="0016191E" w:rsidRPr="0016191E" w:rsidRDefault="0016191E" w:rsidP="0016191E">
      <w:pPr>
        <w:pStyle w:val="ListParagraph"/>
        <w:numPr>
          <w:ilvl w:val="1"/>
          <w:numId w:val="29"/>
        </w:numPr>
        <w:spacing w:before="120" w:after="120"/>
        <w:ind w:left="0" w:firstLine="142"/>
        <w:jc w:val="both"/>
        <w:rPr>
          <w:rFonts w:ascii="Times New Roman" w:hAnsi="Times New Roman"/>
          <w:b/>
          <w:lang w:val="bg-BG"/>
        </w:rPr>
      </w:pPr>
      <w:r w:rsidRPr="0016191E">
        <w:rPr>
          <w:rFonts w:ascii="Times New Roman" w:hAnsi="Times New Roman"/>
          <w:b/>
          <w:lang w:val="bg-BG"/>
        </w:rPr>
        <w:t xml:space="preserve">Технически капацитет </w:t>
      </w:r>
    </w:p>
    <w:p w14:paraId="3DEC5AB5" w14:textId="77777777" w:rsidR="0016191E" w:rsidRPr="0016191E" w:rsidRDefault="0016191E" w:rsidP="0016191E">
      <w:pPr>
        <w:pStyle w:val="ListParagraph"/>
        <w:numPr>
          <w:ilvl w:val="2"/>
          <w:numId w:val="29"/>
        </w:numPr>
        <w:spacing w:before="120" w:after="120"/>
        <w:ind w:left="0" w:firstLine="567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Изпълнителят  разполага с учебни зали </w:t>
      </w:r>
      <w:r w:rsidRPr="0016191E">
        <w:rPr>
          <w:rFonts w:ascii="Times New Roman" w:hAnsi="Times New Roman"/>
          <w:lang w:val="bg-BG"/>
        </w:rPr>
        <w:t xml:space="preserve">, </w:t>
      </w:r>
      <w:r w:rsidRPr="0016191E">
        <w:rPr>
          <w:rFonts w:ascii="Times New Roman" w:hAnsi="Times New Roman"/>
          <w:bCs/>
          <w:color w:val="000000"/>
          <w:kern w:val="32"/>
          <w:lang w:val="bg-BG"/>
        </w:rPr>
        <w:t>в които ще провежда обученията, когато обученията ще се ще се изпълняват в зали на изпълнителя.</w:t>
      </w:r>
    </w:p>
    <w:p w14:paraId="2F60A85F" w14:textId="77777777" w:rsidR="0016191E" w:rsidRPr="0016191E" w:rsidRDefault="0016191E" w:rsidP="0016191E">
      <w:pPr>
        <w:pStyle w:val="ListParagraph"/>
        <w:numPr>
          <w:ilvl w:val="2"/>
          <w:numId w:val="29"/>
        </w:numPr>
        <w:spacing w:before="120" w:after="120"/>
        <w:ind w:left="0" w:firstLine="567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>Изпълнителят има уеб базирана платформа, през която да се провеждат обученията във виртуална класна стая и на която да има учебно съдържание за самостоятелно обучение.</w:t>
      </w:r>
    </w:p>
    <w:p w14:paraId="2A281D74" w14:textId="77777777" w:rsidR="0016191E" w:rsidRPr="0016191E" w:rsidRDefault="0016191E" w:rsidP="0016191E">
      <w:pPr>
        <w:pStyle w:val="ListParagraph"/>
        <w:numPr>
          <w:ilvl w:val="2"/>
          <w:numId w:val="29"/>
        </w:numPr>
        <w:spacing w:before="120" w:after="120"/>
        <w:ind w:left="0" w:firstLine="567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>Изпълнителят осигурява  преподаватели за изпълняване на обученията според предварително съгласуван между страните график.</w:t>
      </w:r>
    </w:p>
    <w:p w14:paraId="5FFEB5EB" w14:textId="77777777" w:rsidR="0016191E" w:rsidRPr="0016191E" w:rsidRDefault="0016191E" w:rsidP="0016191E">
      <w:pPr>
        <w:pStyle w:val="ListParagraph"/>
        <w:numPr>
          <w:ilvl w:val="0"/>
          <w:numId w:val="25"/>
        </w:numPr>
        <w:tabs>
          <w:tab w:val="left" w:pos="0"/>
        </w:tabs>
        <w:spacing w:before="120" w:after="120"/>
        <w:ind w:right="-28"/>
        <w:contextualSpacing w:val="0"/>
        <w:jc w:val="both"/>
        <w:textAlignment w:val="baseline"/>
        <w:rPr>
          <w:rFonts w:ascii="Times New Roman" w:hAnsi="Times New Roman"/>
          <w:vanish/>
          <w:lang w:val="bg-BG"/>
        </w:rPr>
      </w:pPr>
    </w:p>
    <w:p w14:paraId="4995DCDA" w14:textId="77777777" w:rsidR="0016191E" w:rsidRPr="0016191E" w:rsidRDefault="0016191E" w:rsidP="0016191E">
      <w:pPr>
        <w:pStyle w:val="ListParagraph"/>
        <w:numPr>
          <w:ilvl w:val="1"/>
          <w:numId w:val="25"/>
        </w:numPr>
        <w:tabs>
          <w:tab w:val="left" w:pos="0"/>
        </w:tabs>
        <w:spacing w:before="120" w:after="120"/>
        <w:ind w:right="-28"/>
        <w:contextualSpacing w:val="0"/>
        <w:jc w:val="both"/>
        <w:textAlignment w:val="baseline"/>
        <w:rPr>
          <w:rFonts w:ascii="Times New Roman" w:hAnsi="Times New Roman"/>
          <w:vanish/>
          <w:lang w:val="bg-BG"/>
        </w:rPr>
      </w:pPr>
    </w:p>
    <w:p w14:paraId="154660ED" w14:textId="77777777" w:rsidR="0016191E" w:rsidRPr="0016191E" w:rsidRDefault="0016191E" w:rsidP="0016191E">
      <w:pPr>
        <w:pStyle w:val="ListParagraph"/>
        <w:numPr>
          <w:ilvl w:val="1"/>
          <w:numId w:val="25"/>
        </w:numPr>
        <w:tabs>
          <w:tab w:val="left" w:pos="0"/>
        </w:tabs>
        <w:spacing w:before="120" w:after="120"/>
        <w:ind w:right="-28"/>
        <w:contextualSpacing w:val="0"/>
        <w:jc w:val="both"/>
        <w:textAlignment w:val="baseline"/>
        <w:rPr>
          <w:rFonts w:ascii="Times New Roman" w:hAnsi="Times New Roman"/>
          <w:vanish/>
          <w:lang w:val="bg-BG"/>
        </w:rPr>
      </w:pPr>
    </w:p>
    <w:p w14:paraId="480133BF" w14:textId="77777777" w:rsidR="0016191E" w:rsidRPr="0016191E" w:rsidRDefault="0016191E" w:rsidP="0016191E">
      <w:pPr>
        <w:pStyle w:val="ListParagraph"/>
        <w:numPr>
          <w:ilvl w:val="1"/>
          <w:numId w:val="25"/>
        </w:numPr>
        <w:tabs>
          <w:tab w:val="left" w:pos="0"/>
        </w:tabs>
        <w:spacing w:before="120" w:after="120"/>
        <w:ind w:right="-28"/>
        <w:contextualSpacing w:val="0"/>
        <w:jc w:val="both"/>
        <w:textAlignment w:val="baseline"/>
        <w:rPr>
          <w:rFonts w:ascii="Times New Roman" w:hAnsi="Times New Roman"/>
          <w:vanish/>
          <w:lang w:val="bg-BG"/>
        </w:rPr>
      </w:pPr>
    </w:p>
    <w:p w14:paraId="712B0372" w14:textId="77777777" w:rsidR="0016191E" w:rsidRPr="0016191E" w:rsidRDefault="0016191E" w:rsidP="0016191E">
      <w:pPr>
        <w:pStyle w:val="ListParagraph"/>
        <w:numPr>
          <w:ilvl w:val="1"/>
          <w:numId w:val="29"/>
        </w:numPr>
        <w:spacing w:before="120" w:after="120"/>
        <w:ind w:left="0" w:firstLine="142"/>
        <w:jc w:val="both"/>
        <w:rPr>
          <w:rFonts w:ascii="Times New Roman" w:hAnsi="Times New Roman"/>
          <w:b/>
          <w:lang w:val="bg-BG"/>
        </w:rPr>
      </w:pPr>
      <w:r w:rsidRPr="0016191E">
        <w:rPr>
          <w:rFonts w:ascii="Times New Roman" w:hAnsi="Times New Roman"/>
          <w:b/>
          <w:lang w:val="bg-BG"/>
        </w:rPr>
        <w:t>Отчетност: Изпълнителят отчита всяко от проведените обучения  пред възложителя, като представя следните документи:</w:t>
      </w:r>
    </w:p>
    <w:p w14:paraId="1A301D2F" w14:textId="77777777" w:rsidR="0016191E" w:rsidRPr="0016191E" w:rsidRDefault="0016191E" w:rsidP="0016191E">
      <w:pPr>
        <w:pStyle w:val="ListParagraph"/>
        <w:numPr>
          <w:ilvl w:val="2"/>
          <w:numId w:val="29"/>
        </w:numPr>
        <w:spacing w:before="120" w:after="120"/>
        <w:ind w:left="1134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>За присъствена форма на обучение:</w:t>
      </w:r>
    </w:p>
    <w:p w14:paraId="42DC55C9" w14:textId="77777777" w:rsidR="0016191E" w:rsidRPr="0016191E" w:rsidRDefault="0016191E" w:rsidP="0016191E">
      <w:pPr>
        <w:keepNext/>
        <w:keepLines/>
        <w:numPr>
          <w:ilvl w:val="0"/>
          <w:numId w:val="22"/>
        </w:numPr>
        <w:suppressAutoHyphens/>
        <w:spacing w:before="120" w:after="120" w:line="259" w:lineRule="auto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>Попълнени 2 броя поименни протоколи;</w:t>
      </w:r>
    </w:p>
    <w:p w14:paraId="19D3E553" w14:textId="77777777" w:rsidR="0016191E" w:rsidRPr="0016191E" w:rsidRDefault="0016191E" w:rsidP="0016191E">
      <w:pPr>
        <w:keepNext/>
        <w:keepLines/>
        <w:numPr>
          <w:ilvl w:val="0"/>
          <w:numId w:val="22"/>
        </w:numPr>
        <w:suppressAutoHyphens/>
        <w:spacing w:after="160" w:line="259" w:lineRule="auto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>Издаване на удостоверение за преминато обучение - по образец, съгласно примерна форма на Приложение 3 към Правилник за безопасност и здраве при работа по електрообзавеждането до 1000V и Приложение 3 към Правилник за безопасност и здраве при работа в електрически уредби на електрически и топлофикационни централи и по електрически мрежи.</w:t>
      </w:r>
    </w:p>
    <w:p w14:paraId="71116ACE" w14:textId="77777777" w:rsidR="0016191E" w:rsidRPr="0016191E" w:rsidRDefault="0016191E" w:rsidP="0016191E">
      <w:pPr>
        <w:keepNext/>
        <w:keepLines/>
        <w:numPr>
          <w:ilvl w:val="0"/>
          <w:numId w:val="22"/>
        </w:numPr>
        <w:suppressAutoHyphens/>
        <w:spacing w:after="160" w:line="259" w:lineRule="auto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Присъствени протоколи по дати на провеждане на обучението – в хартиен и електронен вариант- електронен вариант- </w:t>
      </w:r>
      <w:proofErr w:type="spellStart"/>
      <w:r w:rsidRPr="0016191E">
        <w:rPr>
          <w:rFonts w:ascii="Times New Roman" w:hAnsi="Times New Roman"/>
          <w:bCs/>
          <w:color w:val="000000"/>
          <w:kern w:val="32"/>
          <w:lang w:val="bg-BG"/>
        </w:rPr>
        <w:t>редактируем</w:t>
      </w:r>
      <w:proofErr w:type="spellEnd"/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,  с конкретна дата и номер на удостоверението, предоставен от Възложителя. </w:t>
      </w:r>
    </w:p>
    <w:p w14:paraId="443B4FE1" w14:textId="77777777" w:rsidR="0016191E" w:rsidRPr="0016191E" w:rsidRDefault="0016191E" w:rsidP="0016191E">
      <w:pPr>
        <w:pStyle w:val="ListParagraph"/>
        <w:numPr>
          <w:ilvl w:val="2"/>
          <w:numId w:val="29"/>
        </w:numPr>
        <w:spacing w:before="120" w:after="120"/>
        <w:ind w:left="1134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    За дистанционна  форма на обучение </w:t>
      </w:r>
      <w:r w:rsidRPr="0016191E">
        <w:rPr>
          <w:rFonts w:ascii="Times New Roman" w:hAnsi="Times New Roman"/>
          <w:bCs/>
          <w:color w:val="000000"/>
          <w:kern w:val="32"/>
        </w:rPr>
        <w:t>(</w:t>
      </w:r>
      <w:r w:rsidRPr="0016191E">
        <w:rPr>
          <w:rFonts w:ascii="Times New Roman" w:hAnsi="Times New Roman"/>
          <w:bCs/>
          <w:color w:val="000000"/>
          <w:kern w:val="32"/>
          <w:lang w:val="bg-BG"/>
        </w:rPr>
        <w:t>ако е наложително</w:t>
      </w:r>
      <w:r w:rsidRPr="0016191E">
        <w:rPr>
          <w:rFonts w:ascii="Times New Roman" w:hAnsi="Times New Roman"/>
          <w:bCs/>
          <w:color w:val="000000"/>
          <w:kern w:val="32"/>
        </w:rPr>
        <w:t>)</w:t>
      </w:r>
      <w:r w:rsidRPr="0016191E">
        <w:rPr>
          <w:rFonts w:ascii="Times New Roman" w:hAnsi="Times New Roman"/>
          <w:bCs/>
          <w:color w:val="000000"/>
          <w:kern w:val="32"/>
          <w:lang w:val="bg-BG"/>
        </w:rPr>
        <w:t>:</w:t>
      </w:r>
    </w:p>
    <w:p w14:paraId="32744C12" w14:textId="77777777" w:rsidR="0016191E" w:rsidRPr="0016191E" w:rsidRDefault="0016191E" w:rsidP="0016191E">
      <w:pPr>
        <w:numPr>
          <w:ilvl w:val="0"/>
          <w:numId w:val="28"/>
        </w:numPr>
        <w:ind w:left="426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Ежеседмични електронни справки за брой преминали през отчетния период, на база поименен списък (с длъжности и имейли) предоставен от Възложителя. </w:t>
      </w:r>
    </w:p>
    <w:p w14:paraId="32972682" w14:textId="77777777" w:rsidR="0016191E" w:rsidRPr="0016191E" w:rsidRDefault="0016191E" w:rsidP="0016191E">
      <w:pPr>
        <w:numPr>
          <w:ilvl w:val="0"/>
          <w:numId w:val="28"/>
        </w:numPr>
        <w:ind w:left="426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lastRenderedPageBreak/>
        <w:t xml:space="preserve">Цялостна електронна справка, на база поименен списък (с длъжности и имейли) предоставен от Възложителя, след приключване на обучението за целия период, в </w:t>
      </w:r>
      <w:proofErr w:type="spellStart"/>
      <w:r w:rsidRPr="0016191E">
        <w:rPr>
          <w:rFonts w:ascii="Times New Roman" w:hAnsi="Times New Roman"/>
          <w:bCs/>
          <w:color w:val="000000"/>
          <w:kern w:val="32"/>
          <w:lang w:val="bg-BG"/>
        </w:rPr>
        <w:t>редактируем</w:t>
      </w:r>
      <w:proofErr w:type="spellEnd"/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 вариант (три имена, длъжност, дата на преминаване).</w:t>
      </w:r>
    </w:p>
    <w:p w14:paraId="6BAD0624" w14:textId="77777777" w:rsidR="0016191E" w:rsidRPr="0016191E" w:rsidRDefault="0016191E" w:rsidP="0016191E">
      <w:pPr>
        <w:pStyle w:val="ListParagraph"/>
        <w:numPr>
          <w:ilvl w:val="1"/>
          <w:numId w:val="29"/>
        </w:numPr>
        <w:spacing w:before="120" w:after="120"/>
        <w:ind w:left="0" w:firstLine="142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bookmarkStart w:id="1" w:name="_Hlk155699757"/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Изпълнителят предоставя/изпраща цялата документация/справки след всеки завършен курс на група обучаващи се, в срок до две седмици, след приключване на курса. </w:t>
      </w:r>
    </w:p>
    <w:bookmarkEnd w:id="1"/>
    <w:p w14:paraId="67D186C4" w14:textId="77777777" w:rsidR="0016191E" w:rsidRPr="0016191E" w:rsidRDefault="0016191E" w:rsidP="0016191E">
      <w:pPr>
        <w:pStyle w:val="ListParagraph"/>
        <w:numPr>
          <w:ilvl w:val="0"/>
          <w:numId w:val="26"/>
        </w:numPr>
        <w:spacing w:before="120" w:after="120"/>
        <w:jc w:val="both"/>
        <w:rPr>
          <w:rFonts w:ascii="Times New Roman" w:hAnsi="Times New Roman"/>
          <w:bCs/>
          <w:vanish/>
          <w:lang w:val="bg-BG"/>
        </w:rPr>
      </w:pPr>
    </w:p>
    <w:p w14:paraId="6C2BF86C" w14:textId="77777777" w:rsidR="0016191E" w:rsidRPr="0016191E" w:rsidRDefault="0016191E" w:rsidP="0016191E">
      <w:pPr>
        <w:pStyle w:val="ListParagraph"/>
        <w:numPr>
          <w:ilvl w:val="1"/>
          <w:numId w:val="26"/>
        </w:numPr>
        <w:spacing w:before="120" w:after="120"/>
        <w:jc w:val="both"/>
        <w:rPr>
          <w:rFonts w:ascii="Times New Roman" w:hAnsi="Times New Roman"/>
          <w:bCs/>
          <w:vanish/>
          <w:lang w:val="bg-BG"/>
        </w:rPr>
      </w:pPr>
    </w:p>
    <w:p w14:paraId="6DE644A9" w14:textId="77777777" w:rsidR="0016191E" w:rsidRPr="0016191E" w:rsidRDefault="0016191E" w:rsidP="0016191E">
      <w:pPr>
        <w:pStyle w:val="ListParagraph"/>
        <w:numPr>
          <w:ilvl w:val="1"/>
          <w:numId w:val="26"/>
        </w:numPr>
        <w:spacing w:before="120" w:after="120"/>
        <w:jc w:val="both"/>
        <w:rPr>
          <w:rFonts w:ascii="Times New Roman" w:hAnsi="Times New Roman"/>
          <w:bCs/>
          <w:vanish/>
          <w:lang w:val="bg-BG"/>
        </w:rPr>
      </w:pPr>
    </w:p>
    <w:p w14:paraId="35E50A4C" w14:textId="77777777" w:rsidR="0016191E" w:rsidRPr="0016191E" w:rsidRDefault="0016191E" w:rsidP="0016191E">
      <w:pPr>
        <w:pStyle w:val="ListParagraph"/>
        <w:numPr>
          <w:ilvl w:val="1"/>
          <w:numId w:val="26"/>
        </w:numPr>
        <w:spacing w:before="120" w:after="120"/>
        <w:jc w:val="both"/>
        <w:rPr>
          <w:rFonts w:ascii="Times New Roman" w:hAnsi="Times New Roman"/>
          <w:bCs/>
          <w:vanish/>
          <w:lang w:val="bg-BG"/>
        </w:rPr>
      </w:pPr>
    </w:p>
    <w:p w14:paraId="2EC8C5AD" w14:textId="77777777" w:rsidR="0016191E" w:rsidRPr="0016191E" w:rsidRDefault="0016191E" w:rsidP="0016191E">
      <w:pPr>
        <w:pStyle w:val="ListParagraph"/>
        <w:numPr>
          <w:ilvl w:val="1"/>
          <w:numId w:val="26"/>
        </w:numPr>
        <w:spacing w:before="120" w:after="120"/>
        <w:jc w:val="both"/>
        <w:rPr>
          <w:rFonts w:ascii="Times New Roman" w:hAnsi="Times New Roman"/>
          <w:bCs/>
          <w:vanish/>
          <w:lang w:val="bg-BG"/>
        </w:rPr>
      </w:pPr>
    </w:p>
    <w:p w14:paraId="67543CEF" w14:textId="77777777" w:rsidR="0016191E" w:rsidRPr="0016191E" w:rsidRDefault="0016191E" w:rsidP="0016191E">
      <w:pPr>
        <w:pStyle w:val="ListParagraph"/>
        <w:numPr>
          <w:ilvl w:val="1"/>
          <w:numId w:val="29"/>
        </w:numPr>
        <w:spacing w:before="120" w:after="120"/>
        <w:ind w:left="0" w:firstLine="142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Обменът на информация се извършва, чрез  пощенска или друга куриерска услуга с </w:t>
      </w:r>
      <w:r w:rsidRPr="0016191E">
        <w:rPr>
          <w:rFonts w:ascii="Times New Roman" w:hAnsi="Times New Roman"/>
          <w:lang w:val="bg-BG"/>
        </w:rPr>
        <w:t>препоръчана</w:t>
      </w:r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 пратка с обратна разписка, по електронна поща, с електронен подпис съгласно изискванията на Закона за електронния документ и електронния подпис или чрез комбинация от тези средства. </w:t>
      </w:r>
    </w:p>
    <w:p w14:paraId="25B29AC8" w14:textId="77777777" w:rsidR="0016191E" w:rsidRPr="0016191E" w:rsidRDefault="0016191E" w:rsidP="0016191E">
      <w:pPr>
        <w:pStyle w:val="ListParagraph"/>
        <w:numPr>
          <w:ilvl w:val="1"/>
          <w:numId w:val="29"/>
        </w:numPr>
        <w:spacing w:before="120" w:after="120"/>
        <w:ind w:left="0" w:firstLine="142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>Място на изпълнение на услугите: гр. София, учебни зали на Възложителя на територията на ПСПВ Бистрица, СПСОВ Кубратово, база в с. Мала Църква или Централен офис</w:t>
      </w:r>
      <w:r w:rsidRPr="0016191E" w:rsidDel="003E51AE">
        <w:rPr>
          <w:rFonts w:ascii="Times New Roman" w:hAnsi="Times New Roman"/>
          <w:bCs/>
          <w:color w:val="000000"/>
          <w:kern w:val="32"/>
          <w:lang w:val="bg-BG"/>
        </w:rPr>
        <w:t xml:space="preserve"> </w:t>
      </w:r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 и/или  бази на Изпълнителя.  В случаи на дистанционно обучение, онлайн платформа на Изпълнителя.</w:t>
      </w:r>
    </w:p>
    <w:p w14:paraId="4FE8AB18" w14:textId="77777777" w:rsidR="0016191E" w:rsidRPr="0016191E" w:rsidRDefault="0016191E" w:rsidP="0016191E">
      <w:pPr>
        <w:pStyle w:val="ListParagraph"/>
        <w:numPr>
          <w:ilvl w:val="1"/>
          <w:numId w:val="29"/>
        </w:numPr>
        <w:spacing w:before="120" w:after="120"/>
        <w:ind w:left="0" w:firstLine="142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>Предаване и приемане на изпълнението-Приемането на извършените дейности се осъществява от определени от страна на възложителя и изпълнителя лица, и се удостоверява с двустранно подписан протокол.</w:t>
      </w:r>
    </w:p>
    <w:p w14:paraId="2BF899A7" w14:textId="77777777" w:rsidR="0016191E" w:rsidRPr="0016191E" w:rsidRDefault="0016191E" w:rsidP="0016191E">
      <w:pPr>
        <w:pStyle w:val="ListParagraph"/>
        <w:numPr>
          <w:ilvl w:val="1"/>
          <w:numId w:val="29"/>
        </w:numPr>
        <w:spacing w:before="120" w:after="120"/>
        <w:ind w:left="0" w:firstLine="142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>Изпълнителят се задължава  да:</w:t>
      </w:r>
    </w:p>
    <w:p w14:paraId="7B2B5EA7" w14:textId="77777777" w:rsidR="0016191E" w:rsidRPr="0016191E" w:rsidRDefault="0016191E" w:rsidP="0016191E">
      <w:pPr>
        <w:numPr>
          <w:ilvl w:val="1"/>
          <w:numId w:val="27"/>
        </w:numPr>
        <w:spacing w:before="120" w:after="120"/>
        <w:jc w:val="both"/>
        <w:outlineLvl w:val="0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 xml:space="preserve">да предоставя Услугите и да изпълнява задълженията си по този Договор в срок  и качествено, в съответствие с Договора. </w:t>
      </w:r>
    </w:p>
    <w:p w14:paraId="49DB1558" w14:textId="77777777" w:rsidR="0016191E" w:rsidRPr="0016191E" w:rsidRDefault="0016191E" w:rsidP="0016191E">
      <w:pPr>
        <w:numPr>
          <w:ilvl w:val="1"/>
          <w:numId w:val="27"/>
        </w:numPr>
        <w:spacing w:before="120" w:after="120"/>
        <w:jc w:val="both"/>
        <w:outlineLvl w:val="0"/>
        <w:rPr>
          <w:rFonts w:ascii="Times New Roman" w:hAnsi="Times New Roman"/>
          <w:bCs/>
          <w:color w:val="000000"/>
          <w:kern w:val="32"/>
          <w:lang w:val="bg-BG"/>
        </w:rPr>
      </w:pPr>
      <w:r w:rsidRPr="0016191E">
        <w:rPr>
          <w:rFonts w:ascii="Times New Roman" w:hAnsi="Times New Roman"/>
          <w:bCs/>
          <w:color w:val="000000"/>
          <w:kern w:val="32"/>
          <w:lang w:val="bg-BG"/>
        </w:rPr>
        <w:t>да информира своевременно Възложителя за всички пречки, възникващи в хода на изпълнението на работата, да предложи начин за отстраняването им, като може да поиска от Възложителя указания и/или съдействие за отстраняването им;</w:t>
      </w:r>
    </w:p>
    <w:p w14:paraId="0FB3F22D" w14:textId="77777777" w:rsidR="00E508C6" w:rsidRPr="0016191E" w:rsidRDefault="00E508C6" w:rsidP="00E508C6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b/>
          <w:color w:val="000000"/>
          <w:lang w:val="bg-BG"/>
        </w:rPr>
      </w:pPr>
    </w:p>
    <w:sectPr w:rsidR="00E508C6" w:rsidRPr="0016191E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207D"/>
    <w:multiLevelType w:val="multilevel"/>
    <w:tmpl w:val="224ADB5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105EA9"/>
    <w:multiLevelType w:val="multilevel"/>
    <w:tmpl w:val="D13470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2F3848"/>
    <w:multiLevelType w:val="hybridMultilevel"/>
    <w:tmpl w:val="21ECE57C"/>
    <w:lvl w:ilvl="0" w:tplc="EB1E6A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987646"/>
    <w:multiLevelType w:val="multilevel"/>
    <w:tmpl w:val="B04AB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Verdana" w:hAnsi="Verdana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8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050197"/>
    <w:multiLevelType w:val="multilevel"/>
    <w:tmpl w:val="4DEA6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Bookman Old Style" w:hAnsi="Bookman Old Style" w:hint="default"/>
        <w:b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ascii="Bookman Old Style" w:hAnsi="Bookman Old Style"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0" w15:restartNumberingAfterBreak="0">
    <w:nsid w:val="23925E0B"/>
    <w:multiLevelType w:val="multilevel"/>
    <w:tmpl w:val="DAA22E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1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12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14" w15:restartNumberingAfterBreak="0">
    <w:nsid w:val="3FBB1CFD"/>
    <w:multiLevelType w:val="multilevel"/>
    <w:tmpl w:val="4C80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00D768E"/>
    <w:multiLevelType w:val="multilevel"/>
    <w:tmpl w:val="53B82B9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43CB0322"/>
    <w:multiLevelType w:val="multilevel"/>
    <w:tmpl w:val="8E2EE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Bookman Old Style" w:hAnsi="Bookman Old Style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93B1844"/>
    <w:multiLevelType w:val="hybridMultilevel"/>
    <w:tmpl w:val="C4741D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B3CBF"/>
    <w:multiLevelType w:val="multilevel"/>
    <w:tmpl w:val="6C3253F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6F255B1"/>
    <w:multiLevelType w:val="hybridMultilevel"/>
    <w:tmpl w:val="4C7491D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87146"/>
    <w:multiLevelType w:val="multilevel"/>
    <w:tmpl w:val="CD1672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88"/>
        </w:tabs>
        <w:ind w:left="988" w:hanging="420"/>
      </w:pPr>
      <w:rPr>
        <w:rFonts w:ascii="Symbol" w:hAnsi="Symbol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5D524C25"/>
    <w:multiLevelType w:val="multilevel"/>
    <w:tmpl w:val="D2EE867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28D7AE6"/>
    <w:multiLevelType w:val="multilevel"/>
    <w:tmpl w:val="37C84BC6"/>
    <w:lvl w:ilvl="0">
      <w:start w:val="1"/>
      <w:numFmt w:val="decimal"/>
      <w:lvlText w:val="%1."/>
      <w:lvlJc w:val="left"/>
      <w:pPr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Arial" w:hint="default"/>
      </w:rPr>
    </w:lvl>
  </w:abstractNum>
  <w:abstractNum w:abstractNumId="25" w15:restartNumberingAfterBreak="0">
    <w:nsid w:val="62C27CB4"/>
    <w:multiLevelType w:val="multilevel"/>
    <w:tmpl w:val="94B09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191"/>
        </w:tabs>
        <w:ind w:left="1191" w:hanging="62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Restart w:val="1"/>
      <w:isLgl/>
      <w:suff w:val="space"/>
      <w:lvlText w:val="%3.%2.1."/>
      <w:lvlJc w:val="left"/>
      <w:pPr>
        <w:ind w:left="1077" w:hanging="737"/>
      </w:pPr>
      <w:rPr>
        <w:rFonts w:ascii="Verdana" w:eastAsia="Batang" w:hAnsi="Verdana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6EF61632"/>
    <w:multiLevelType w:val="multilevel"/>
    <w:tmpl w:val="60B0C65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6FA37D1B"/>
    <w:multiLevelType w:val="hybridMultilevel"/>
    <w:tmpl w:val="D3FE5F0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3"/>
  </w:num>
  <w:num w:numId="4">
    <w:abstractNumId w:val="17"/>
  </w:num>
  <w:num w:numId="5">
    <w:abstractNumId w:val="28"/>
  </w:num>
  <w:num w:numId="6">
    <w:abstractNumId w:val="5"/>
  </w:num>
  <w:num w:numId="7">
    <w:abstractNumId w:val="8"/>
  </w:num>
  <w:num w:numId="8">
    <w:abstractNumId w:val="7"/>
  </w:num>
  <w:num w:numId="9">
    <w:abstractNumId w:val="12"/>
  </w:num>
  <w:num w:numId="10">
    <w:abstractNumId w:val="13"/>
  </w:num>
  <w:num w:numId="11">
    <w:abstractNumId w:val="1"/>
  </w:num>
  <w:num w:numId="12">
    <w:abstractNumId w:val="10"/>
  </w:num>
  <w:num w:numId="13">
    <w:abstractNumId w:val="24"/>
  </w:num>
  <w:num w:numId="14">
    <w:abstractNumId w:val="0"/>
  </w:num>
  <w:num w:numId="15">
    <w:abstractNumId w:val="19"/>
  </w:num>
  <w:num w:numId="16">
    <w:abstractNumId w:val="27"/>
  </w:num>
  <w:num w:numId="17">
    <w:abstractNumId w:val="26"/>
  </w:num>
  <w:num w:numId="18">
    <w:abstractNumId w:val="25"/>
  </w:num>
  <w:num w:numId="19">
    <w:abstractNumId w:val="4"/>
  </w:num>
  <w:num w:numId="20">
    <w:abstractNumId w:val="23"/>
  </w:num>
  <w:num w:numId="21">
    <w:abstractNumId w:val="15"/>
  </w:num>
  <w:num w:numId="22">
    <w:abstractNumId w:val="21"/>
  </w:num>
  <w:num w:numId="23">
    <w:abstractNumId w:val="6"/>
  </w:num>
  <w:num w:numId="24">
    <w:abstractNumId w:val="16"/>
  </w:num>
  <w:num w:numId="25">
    <w:abstractNumId w:val="9"/>
  </w:num>
  <w:num w:numId="26">
    <w:abstractNumId w:val="14"/>
  </w:num>
  <w:num w:numId="27">
    <w:abstractNumId w:val="22"/>
  </w:num>
  <w:num w:numId="28">
    <w:abstractNumId w:val="1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2061"/>
    <w:rsid w:val="0002474B"/>
    <w:rsid w:val="0005701A"/>
    <w:rsid w:val="000B6FB5"/>
    <w:rsid w:val="000C5757"/>
    <w:rsid w:val="0016191E"/>
    <w:rsid w:val="001B531C"/>
    <w:rsid w:val="002103F5"/>
    <w:rsid w:val="00267116"/>
    <w:rsid w:val="00294FCC"/>
    <w:rsid w:val="0030269B"/>
    <w:rsid w:val="003C3C81"/>
    <w:rsid w:val="0046202C"/>
    <w:rsid w:val="004A2BBD"/>
    <w:rsid w:val="004D33A6"/>
    <w:rsid w:val="00545557"/>
    <w:rsid w:val="0056687C"/>
    <w:rsid w:val="006971F7"/>
    <w:rsid w:val="006C582C"/>
    <w:rsid w:val="006F7E2E"/>
    <w:rsid w:val="00742A5F"/>
    <w:rsid w:val="007C74D4"/>
    <w:rsid w:val="007E66A4"/>
    <w:rsid w:val="00811F06"/>
    <w:rsid w:val="009D1216"/>
    <w:rsid w:val="00A719F9"/>
    <w:rsid w:val="00A77E36"/>
    <w:rsid w:val="00AA3BF9"/>
    <w:rsid w:val="00B22C31"/>
    <w:rsid w:val="00BB2368"/>
    <w:rsid w:val="00BF41E3"/>
    <w:rsid w:val="00D03773"/>
    <w:rsid w:val="00D508DE"/>
    <w:rsid w:val="00D611B9"/>
    <w:rsid w:val="00DB1F0F"/>
    <w:rsid w:val="00E508C6"/>
    <w:rsid w:val="00E814B1"/>
    <w:rsid w:val="00E96635"/>
    <w:rsid w:val="00ED13B1"/>
    <w:rsid w:val="00ED3D1D"/>
    <w:rsid w:val="00ED40D6"/>
    <w:rsid w:val="00ED641A"/>
    <w:rsid w:val="00F0551E"/>
    <w:rsid w:val="00F776BE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  <w:style w:type="character" w:customStyle="1" w:styleId="alb2">
    <w:name w:val="al_b2"/>
    <w:rsid w:val="00B22C3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1101C-F039-4BFB-A97C-B4F73ACB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9</cp:revision>
  <cp:lastPrinted>2023-11-07T12:13:00Z</cp:lastPrinted>
  <dcterms:created xsi:type="dcterms:W3CDTF">2023-11-06T07:30:00Z</dcterms:created>
  <dcterms:modified xsi:type="dcterms:W3CDTF">2024-01-22T07:58:00Z</dcterms:modified>
</cp:coreProperties>
</file>