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9E3D9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0DA6A4BF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4D0AED9B" w14:textId="77777777" w:rsidR="006149C3" w:rsidRPr="006149C3" w:rsidRDefault="006149C3" w:rsidP="006149C3">
      <w:pPr>
        <w:spacing w:after="0" w:line="276" w:lineRule="auto"/>
        <w:ind w:left="284" w:right="284"/>
        <w:jc w:val="center"/>
        <w:rPr>
          <w:rFonts w:ascii="Times New Roman" w:eastAsia="Times New Roman" w:hAnsi="Times New Roman" w:cs="Times New Roman"/>
          <w:b/>
          <w:bCs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О Б Я В Л Е Н И Е</w:t>
      </w:r>
    </w:p>
    <w:p w14:paraId="374A3DD2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b/>
          <w:bCs/>
          <w:lang w:val="bg-BG" w:eastAsia="bg-BG"/>
        </w:rPr>
      </w:pPr>
    </w:p>
    <w:p w14:paraId="36326FAA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b/>
          <w:bCs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БЪЛГАРСКА ТЕЛЕГРАФНА АГЕНЦИЯ (БТА) ОТКРИВА ПРОЦЕДУРА ЗА ОТДАВАНЕ ПОД НАЕМ НА ЧАСТ ОТ НЕДВИЖИМ ИМОТ – ПУБЛИЧНА ДЪРЖАВНА СОБСТВЕНОСТ  ЧРЕЗ ТЪРГ С ТАЙНО НАДДАВАНЕ ПРИ СЛЕДНИТЕ УСЛОВИЯ:</w:t>
      </w:r>
    </w:p>
    <w:p w14:paraId="47F2A672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42E84D83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1.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Обект, който ще се отдава под наем: Площ от 2,3 кв.м., предназначена за външно монтиране на 1 (един) брой терминално устройство АТМ (банкомат) на първия етаж на административната сграда на БТА, встрани от централния вход на сградата, находяща се на адрес: гр. София, п.к. 1124, район Средец, бул. „Цариградско шосе“ № 49.</w:t>
      </w:r>
    </w:p>
    <w:p w14:paraId="64F27C38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2</w:t>
      </w:r>
      <w:r w:rsidRPr="006149C3">
        <w:rPr>
          <w:rFonts w:ascii="Times New Roman" w:eastAsia="Times New Roman" w:hAnsi="Times New Roman" w:cs="Times New Roman"/>
          <w:lang w:val="bg-BG" w:eastAsia="bg-BG"/>
        </w:rPr>
        <w:t>. Предназначение на обекта: за поставяне на общодостъпно място на терминално устройство АТМ (банкомат) с оглед обслужване на служителите на БТА и трети лица. Банкоматът ще бъде поставен външно, встрани от централния вход, на първия етаж на сградата на БТА.</w:t>
      </w:r>
    </w:p>
    <w:p w14:paraId="4594642F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3.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Срок за отдаване под наем на обекта: 5 (пет) години, считано от датата на сключване на договора за наем.</w:t>
      </w:r>
    </w:p>
    <w:p w14:paraId="68D431DE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4.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Специални изисквания към участниците: </w:t>
      </w:r>
    </w:p>
    <w:p w14:paraId="2F8A06D6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4.1.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Право на участие в търга имат всички юридически лица, регистрирани по Търговския закон (ТЗ), които са банки по смисъла на Закона за кредитните институции (ЗКИ).</w:t>
      </w:r>
    </w:p>
    <w:p w14:paraId="5D351CE0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4.2.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Кандидатите следва да притежават лиценз, издаден от БНБ за извършването на банкова дейност, като към заявлението за участие се прилага заверено копие от лиценза.</w:t>
      </w:r>
    </w:p>
    <w:p w14:paraId="59A1B51C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4.3</w:t>
      </w:r>
      <w:r w:rsidRPr="006149C3">
        <w:rPr>
          <w:rFonts w:ascii="Times New Roman" w:eastAsia="Times New Roman" w:hAnsi="Times New Roman" w:cs="Times New Roman"/>
          <w:lang w:val="bg-BG" w:eastAsia="bg-BG"/>
        </w:rPr>
        <w:t>. Кандидатите са длъжни да монтират и осигурят терминално устройство АТМ (банкомат) за външен монтаж на първия етаж на сградата на БТА. Устройството следва да е технически обезопасено и да е съобразено с изискванията на Директива 2006/95/ЕО, т.е. с поставена СЕ маркировка, която доказва съответствието му с хармонизираните стандарти, включително изискванията за безопасност. В предложението си кандидатите следва да представят техническа документация или друг вид подробно описание на вида, марката и модела на банкомата, както и да посочат параметрите на електрическата енергия на предлагания за монтиране банкомат, съгласно указанията на производителя.</w:t>
      </w:r>
    </w:p>
    <w:p w14:paraId="2BADD70E" w14:textId="550E669F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4.4.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Терминалното устройство АТМ следва да </w:t>
      </w:r>
      <w:r w:rsidR="00E4373E">
        <w:rPr>
          <w:rFonts w:ascii="Times New Roman" w:eastAsia="Times New Roman" w:hAnsi="Times New Roman" w:cs="Times New Roman"/>
          <w:lang w:val="bg-BG" w:eastAsia="bg-BG"/>
        </w:rPr>
        <w:t xml:space="preserve">отговаря на техническата спецификация от тръжната документация. </w:t>
      </w:r>
    </w:p>
    <w:p w14:paraId="471FEC6F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4.5.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Разходите по монтирането и демонтирането на банкомата, както и разходите по свързването му към електрическата инсталацията и монтирането на контролно-измервателен уред са за сметка на наемателя.</w:t>
      </w:r>
    </w:p>
    <w:p w14:paraId="2EBE2894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4.6.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Поддържането, основните и текущи ремонти на частта от имота, предоставена под наем, ще се извършват от и за сметка на наемателя, като същите се извършват само със съгласието на наемодателя. Наемателят се задължава да заплаща за своя сметка разходите по осъществяване на всички текущи ремонти и поправки, дължащи се на повреди, породени от обикновеното използване на площите, както и разходите за извършени подобрения и ремонти в наетите площи.</w:t>
      </w:r>
    </w:p>
    <w:p w14:paraId="50278FD4" w14:textId="7DA311AC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5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. Началната тръжна цена е в размер на </w:t>
      </w:r>
      <w:r w:rsidR="00EC73E0">
        <w:rPr>
          <w:rFonts w:ascii="Times New Roman" w:eastAsia="Times New Roman" w:hAnsi="Times New Roman" w:cs="Times New Roman"/>
          <w:lang w:val="bg-BG" w:eastAsia="bg-BG"/>
        </w:rPr>
        <w:t xml:space="preserve">607,20 </w:t>
      </w:r>
      <w:r w:rsidR="00EC73E0" w:rsidRPr="00F80953">
        <w:rPr>
          <w:rFonts w:ascii="Times New Roman" w:eastAsia="Times New Roman" w:hAnsi="Times New Roman" w:cs="Times New Roman"/>
          <w:lang w:val="bg-BG" w:eastAsia="bg-BG"/>
        </w:rPr>
        <w:t>лв. (</w:t>
      </w:r>
      <w:r w:rsidR="00EC73E0">
        <w:rPr>
          <w:rFonts w:ascii="Times New Roman" w:eastAsia="Times New Roman" w:hAnsi="Times New Roman" w:cs="Times New Roman"/>
          <w:lang w:val="bg-BG" w:eastAsia="bg-BG"/>
        </w:rPr>
        <w:t>шестстотин и седем лева и двадесет стотинки</w:t>
      </w:r>
      <w:r w:rsidR="00EC73E0" w:rsidRPr="00F80953">
        <w:rPr>
          <w:rFonts w:ascii="Times New Roman" w:eastAsia="Times New Roman" w:hAnsi="Times New Roman" w:cs="Times New Roman"/>
          <w:lang w:val="bg-BG" w:eastAsia="bg-BG"/>
        </w:rPr>
        <w:t>)</w:t>
      </w:r>
      <w:r w:rsidR="00EC73E0">
        <w:rPr>
          <w:rFonts w:ascii="Times New Roman" w:eastAsia="Times New Roman" w:hAnsi="Times New Roman" w:cs="Times New Roman"/>
          <w:lang w:val="bg-BG" w:eastAsia="bg-BG"/>
        </w:rPr>
        <w:t xml:space="preserve"> с начислен ДДС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. Цената е определена в съответствие с чл. 41, ал. </w:t>
      </w:r>
      <w:r w:rsidR="00EC73E0">
        <w:rPr>
          <w:rFonts w:ascii="Times New Roman" w:eastAsia="Times New Roman" w:hAnsi="Times New Roman" w:cs="Times New Roman"/>
          <w:lang w:val="bg-BG" w:eastAsia="bg-BG"/>
        </w:rPr>
        <w:t>1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от ППЗДС. В наемната цена не се вк</w:t>
      </w:r>
      <w:r w:rsidR="0005394D">
        <w:rPr>
          <w:rFonts w:ascii="Times New Roman" w:eastAsia="Times New Roman" w:hAnsi="Times New Roman" w:cs="Times New Roman"/>
          <w:lang w:val="bg-BG" w:eastAsia="bg-BG"/>
        </w:rPr>
        <w:t>л</w:t>
      </w:r>
      <w:r w:rsidRPr="006149C3">
        <w:rPr>
          <w:rFonts w:ascii="Times New Roman" w:eastAsia="Times New Roman" w:hAnsi="Times New Roman" w:cs="Times New Roman"/>
          <w:lang w:val="bg-BG" w:eastAsia="bg-BG"/>
        </w:rPr>
        <w:t>ючват разходи за електроенергия. Наемната цена се индексира ежегодно след изтичане на годината, през която договорът е сключен, съобразно процента на официално обявения индекс на инфлация от Националния статистически институт (НСИ) за съответната година.</w:t>
      </w:r>
    </w:p>
    <w:p w14:paraId="18C59E98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lastRenderedPageBreak/>
        <w:t>6.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Начин на плащане:</w:t>
      </w:r>
    </w:p>
    <w:p w14:paraId="7061FA3E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Наемната цена се заплаща ежемесечно в срок до 7 (седем) календарни дни от издаване на фактура в оригинал за съответния месец по следната банкова сметка на БТА: </w:t>
      </w:r>
    </w:p>
    <w:p w14:paraId="79CA123C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IBAN: BG76 BNBG 9661 3100 1793 01 </w:t>
      </w:r>
    </w:p>
    <w:p w14:paraId="582A6F6C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lang w:val="bg-BG" w:eastAsia="bg-BG"/>
        </w:rPr>
        <w:t>BIC: BNBGBGD</w:t>
      </w:r>
    </w:p>
    <w:p w14:paraId="6F01642A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lang w:val="bg-BG" w:eastAsia="bg-BG"/>
        </w:rPr>
        <w:t>Българска народна банка.</w:t>
      </w:r>
    </w:p>
    <w:p w14:paraId="236C889C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lang w:val="bg-BG" w:eastAsia="bg-BG"/>
        </w:rPr>
        <w:t>Всички разходи по монтирането и демонтирането на банкомата, както и разходите по свързването му към електрическата инсталация са изцяло за сметка на наемателя. БТА монтира за сметка на наемателя и контролен електромер, по чиито данни/показания наемателят заплаща стойността на консумираната електроенергия.</w:t>
      </w:r>
    </w:p>
    <w:p w14:paraId="15C18B23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7.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Депозит за участие в търга: Паричната вноска е в размер на 50 лв. (петдесет лева) с включен ДДС и се внася в брой на касата на БТА, на бул. „Цариградско шосе“ № 49, или по сметка на БТА в БНБ: IBAN: BG76 BNBG 9661 3100 1793 01, BIC: BNBGBGSD, най-късно до изтичане на срока за подаване на заявленията.</w:t>
      </w:r>
    </w:p>
    <w:p w14:paraId="3D03759D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7.1.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Депозитите се освобождават по нареждане на председателя на тръжната комисия, в следните срокове:</w:t>
      </w:r>
    </w:p>
    <w:p w14:paraId="48C3CED8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а</w:t>
      </w:r>
      <w:r w:rsidRPr="006149C3">
        <w:rPr>
          <w:rFonts w:ascii="Times New Roman" w:eastAsia="Times New Roman" w:hAnsi="Times New Roman" w:cs="Times New Roman"/>
          <w:lang w:val="bg-BG" w:eastAsia="bg-BG"/>
        </w:rPr>
        <w:t>/ на неспечелилите участници – в 7-дневен срок от датата на обявяване на спечелилия;</w:t>
      </w:r>
    </w:p>
    <w:p w14:paraId="1AE300E6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б</w:t>
      </w:r>
      <w:r w:rsidRPr="006149C3">
        <w:rPr>
          <w:rFonts w:ascii="Times New Roman" w:eastAsia="Times New Roman" w:hAnsi="Times New Roman" w:cs="Times New Roman"/>
          <w:lang w:val="bg-BG" w:eastAsia="bg-BG"/>
        </w:rPr>
        <w:t>/ на участника, спечелил търга – в 7-дневен срок от сключването на договор за наем. В случай че с лицето не се сключи договор по негова вина, депозитът не се връща.</w:t>
      </w:r>
    </w:p>
    <w:p w14:paraId="11A63586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8.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Срок за получаване на тръжната документация: Тръжната документация е безплатна и пълен достъп до същата е осигурен по електронен път на интернет страницата на БТА с адрес: www.bta.bg. </w:t>
      </w:r>
    </w:p>
    <w:p w14:paraId="30601179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9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. Заявления за участие в търга се подават лично в отдел „Деловодство“ в сградата на БТА на адрес: гр. София, п.к. 1124, район Средец, бул. „Цариградско шосе“ № 49 или по пощата с препоръчано писмо с обратна разписка </w:t>
      </w:r>
    </w:p>
    <w:p w14:paraId="708B26D8" w14:textId="37484E85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10.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Срокът за подаване на заявленията е до 17:00 часа на </w:t>
      </w:r>
      <w:r w:rsidR="00EC73E0">
        <w:rPr>
          <w:rFonts w:ascii="Times New Roman" w:eastAsia="Times New Roman" w:hAnsi="Times New Roman" w:cs="Times New Roman"/>
          <w:lang w:val="bg-BG" w:eastAsia="bg-BG"/>
        </w:rPr>
        <w:t>27</w:t>
      </w:r>
      <w:r w:rsidRPr="006149C3">
        <w:rPr>
          <w:rFonts w:ascii="Times New Roman" w:eastAsia="Times New Roman" w:hAnsi="Times New Roman" w:cs="Times New Roman"/>
          <w:lang w:val="bg-BG" w:eastAsia="bg-BG"/>
        </w:rPr>
        <w:t>.</w:t>
      </w:r>
      <w:r w:rsidR="00EC73E0">
        <w:rPr>
          <w:rFonts w:ascii="Times New Roman" w:eastAsia="Times New Roman" w:hAnsi="Times New Roman" w:cs="Times New Roman"/>
          <w:lang w:val="bg-BG" w:eastAsia="bg-BG"/>
        </w:rPr>
        <w:t>02</w:t>
      </w:r>
      <w:r w:rsidRPr="006149C3">
        <w:rPr>
          <w:rFonts w:ascii="Times New Roman" w:eastAsia="Times New Roman" w:hAnsi="Times New Roman" w:cs="Times New Roman"/>
          <w:lang w:val="bg-BG" w:eastAsia="bg-BG"/>
        </w:rPr>
        <w:t>.202</w:t>
      </w:r>
      <w:r w:rsidR="00EC73E0">
        <w:rPr>
          <w:rFonts w:ascii="Times New Roman" w:eastAsia="Times New Roman" w:hAnsi="Times New Roman" w:cs="Times New Roman"/>
          <w:lang w:val="bg-BG" w:eastAsia="bg-BG"/>
        </w:rPr>
        <w:t>5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г. (</w:t>
      </w:r>
      <w:r w:rsidR="00EC73E0">
        <w:rPr>
          <w:rFonts w:ascii="Times New Roman" w:eastAsia="Times New Roman" w:hAnsi="Times New Roman" w:cs="Times New Roman"/>
          <w:lang w:val="bg-BG" w:eastAsia="bg-BG"/>
        </w:rPr>
        <w:t>четвъртък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). </w:t>
      </w:r>
    </w:p>
    <w:p w14:paraId="255E2F25" w14:textId="11094114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11.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Огледи на обекта може да се извършват през работни дни до </w:t>
      </w:r>
      <w:r w:rsidR="00EC73E0">
        <w:rPr>
          <w:rFonts w:ascii="Times New Roman" w:eastAsia="Times New Roman" w:hAnsi="Times New Roman" w:cs="Times New Roman"/>
          <w:lang w:val="bg-BG" w:eastAsia="bg-BG"/>
        </w:rPr>
        <w:t>27</w:t>
      </w:r>
      <w:r w:rsidRPr="006149C3">
        <w:rPr>
          <w:rFonts w:ascii="Times New Roman" w:eastAsia="Times New Roman" w:hAnsi="Times New Roman" w:cs="Times New Roman"/>
          <w:lang w:val="bg-BG" w:eastAsia="bg-BG"/>
        </w:rPr>
        <w:t>.</w:t>
      </w:r>
      <w:r w:rsidR="00EC73E0">
        <w:rPr>
          <w:rFonts w:ascii="Times New Roman" w:eastAsia="Times New Roman" w:hAnsi="Times New Roman" w:cs="Times New Roman"/>
          <w:lang w:val="bg-BG" w:eastAsia="bg-BG"/>
        </w:rPr>
        <w:t>02</w:t>
      </w:r>
      <w:r w:rsidRPr="006149C3">
        <w:rPr>
          <w:rFonts w:ascii="Times New Roman" w:eastAsia="Times New Roman" w:hAnsi="Times New Roman" w:cs="Times New Roman"/>
          <w:lang w:val="bg-BG" w:eastAsia="bg-BG"/>
        </w:rPr>
        <w:t>.202</w:t>
      </w:r>
      <w:r w:rsidR="00EC73E0">
        <w:rPr>
          <w:rFonts w:ascii="Times New Roman" w:eastAsia="Times New Roman" w:hAnsi="Times New Roman" w:cs="Times New Roman"/>
          <w:lang w:val="bg-BG" w:eastAsia="bg-BG"/>
        </w:rPr>
        <w:t>5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г. (</w:t>
      </w:r>
      <w:r w:rsidR="00EC73E0">
        <w:rPr>
          <w:rFonts w:ascii="Times New Roman" w:eastAsia="Times New Roman" w:hAnsi="Times New Roman" w:cs="Times New Roman"/>
          <w:lang w:val="bg-BG" w:eastAsia="bg-BG"/>
        </w:rPr>
        <w:t>четвъртък</w:t>
      </w:r>
      <w:r w:rsidRPr="006149C3">
        <w:rPr>
          <w:rFonts w:ascii="Times New Roman" w:eastAsia="Times New Roman" w:hAnsi="Times New Roman" w:cs="Times New Roman"/>
          <w:lang w:val="bg-BG" w:eastAsia="bg-BG"/>
        </w:rPr>
        <w:t>) от 09:00 до 17:00 ч., след предварителна уговорка на телефон:</w:t>
      </w:r>
      <w:r w:rsidR="006826DB" w:rsidRPr="006826DB">
        <w:rPr>
          <w:rFonts w:ascii="Times New Roman" w:eastAsia="Times New Roman" w:hAnsi="Times New Roman" w:cs="Times New Roman"/>
          <w:lang w:val="bg-BG" w:eastAsia="bg-BG"/>
        </w:rPr>
        <w:t xml:space="preserve">+359 882 364  361, Георги Ников, директор на дирекция „Административни дейности и собственост“ или на телефон: + 359 878 123 038, Недко Попов, началник склад, домакин, при представяне на документ за самоличност и в присъствието на един от двамата посочени служители. </w:t>
      </w:r>
      <w:r w:rsidRPr="006149C3">
        <w:rPr>
          <w:rFonts w:ascii="Times New Roman" w:eastAsia="Times New Roman" w:hAnsi="Times New Roman" w:cs="Times New Roman"/>
          <w:lang w:val="bg-BG" w:eastAsia="bg-BG"/>
        </w:rPr>
        <w:t>. За проведения оглед се попълва декларация по образец, приложение към утвърдената тръжна документация.</w:t>
      </w:r>
    </w:p>
    <w:p w14:paraId="29436FE4" w14:textId="689C1D22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12.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Търгът ще се проведе на </w:t>
      </w:r>
      <w:r w:rsidR="00EC73E0">
        <w:rPr>
          <w:rFonts w:ascii="Times New Roman" w:eastAsia="Times New Roman" w:hAnsi="Times New Roman" w:cs="Times New Roman"/>
          <w:lang w:val="bg-BG" w:eastAsia="bg-BG"/>
        </w:rPr>
        <w:t>06</w:t>
      </w:r>
      <w:r w:rsidRPr="006149C3">
        <w:rPr>
          <w:rFonts w:ascii="Times New Roman" w:eastAsia="Times New Roman" w:hAnsi="Times New Roman" w:cs="Times New Roman"/>
          <w:lang w:val="bg-BG" w:eastAsia="bg-BG"/>
        </w:rPr>
        <w:t>.</w:t>
      </w:r>
      <w:r w:rsidR="00EC73E0">
        <w:rPr>
          <w:rFonts w:ascii="Times New Roman" w:eastAsia="Times New Roman" w:hAnsi="Times New Roman" w:cs="Times New Roman"/>
          <w:lang w:val="bg-BG" w:eastAsia="bg-BG"/>
        </w:rPr>
        <w:t>03</w:t>
      </w:r>
      <w:r w:rsidRPr="006149C3">
        <w:rPr>
          <w:rFonts w:ascii="Times New Roman" w:eastAsia="Times New Roman" w:hAnsi="Times New Roman" w:cs="Times New Roman"/>
          <w:lang w:val="bg-BG" w:eastAsia="bg-BG"/>
        </w:rPr>
        <w:t>.202</w:t>
      </w:r>
      <w:r w:rsidR="00EC73E0">
        <w:rPr>
          <w:rFonts w:ascii="Times New Roman" w:eastAsia="Times New Roman" w:hAnsi="Times New Roman" w:cs="Times New Roman"/>
          <w:lang w:val="bg-BG" w:eastAsia="bg-BG"/>
        </w:rPr>
        <w:t>5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г. (</w:t>
      </w:r>
      <w:r w:rsidR="00EC73E0">
        <w:rPr>
          <w:rFonts w:ascii="Times New Roman" w:eastAsia="Times New Roman" w:hAnsi="Times New Roman" w:cs="Times New Roman"/>
          <w:lang w:val="bg-BG" w:eastAsia="bg-BG"/>
        </w:rPr>
        <w:t>четвъртък</w:t>
      </w:r>
      <w:r w:rsidRPr="006149C3">
        <w:rPr>
          <w:rFonts w:ascii="Times New Roman" w:eastAsia="Times New Roman" w:hAnsi="Times New Roman" w:cs="Times New Roman"/>
          <w:lang w:val="bg-BG" w:eastAsia="bg-BG"/>
        </w:rPr>
        <w:t>) от 11:00 часа в сградата на БТА, гр. София, п.к. 1124, район Средец, бул. „Цариградско шосе“ № 49.</w:t>
      </w:r>
    </w:p>
    <w:p w14:paraId="1B284251" w14:textId="77777777" w:rsidR="006149C3" w:rsidRPr="006149C3" w:rsidRDefault="006149C3" w:rsidP="006149C3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149C3">
        <w:rPr>
          <w:rFonts w:ascii="Times New Roman" w:eastAsia="Times New Roman" w:hAnsi="Times New Roman" w:cs="Times New Roman"/>
          <w:b/>
          <w:bCs/>
          <w:lang w:val="bg-BG" w:eastAsia="bg-BG"/>
        </w:rPr>
        <w:t>13.</w:t>
      </w:r>
      <w:r w:rsidRPr="006149C3">
        <w:rPr>
          <w:rFonts w:ascii="Times New Roman" w:eastAsia="Times New Roman" w:hAnsi="Times New Roman" w:cs="Times New Roman"/>
          <w:lang w:val="bg-BG" w:eastAsia="bg-BG"/>
        </w:rPr>
        <w:t xml:space="preserve"> До участие в търга да се допускат само онези кандидати, които в срока, определен за подаване на заявления за участие, подадат заявление, което отговаря на нормативните и тръжните условия.</w:t>
      </w:r>
    </w:p>
    <w:p w14:paraId="642BFE29" w14:textId="77777777" w:rsidR="00461ECE" w:rsidRPr="006149C3" w:rsidRDefault="00461ECE" w:rsidP="00461ECE">
      <w:pPr>
        <w:spacing w:after="0" w:line="276" w:lineRule="auto"/>
        <w:ind w:left="284" w:right="284"/>
        <w:jc w:val="both"/>
        <w:rPr>
          <w:rFonts w:ascii="Times New Roman" w:eastAsia="Times New Roman" w:hAnsi="Times New Roman" w:cs="Times New Roman"/>
          <w:lang w:val="bg-BG" w:eastAsia="bg-BG"/>
        </w:rPr>
      </w:pPr>
    </w:p>
    <w:sectPr w:rsidR="00461ECE" w:rsidRPr="006149C3" w:rsidSect="004F22FE">
      <w:headerReference w:type="default" r:id="rId8"/>
      <w:footerReference w:type="default" r:id="rId9"/>
      <w:pgSz w:w="12240" w:h="15840"/>
      <w:pgMar w:top="1440" w:right="900" w:bottom="709" w:left="1134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19573" w14:textId="77777777" w:rsidR="003321C8" w:rsidRDefault="003321C8" w:rsidP="00A91299">
      <w:pPr>
        <w:spacing w:after="0" w:line="240" w:lineRule="auto"/>
      </w:pPr>
      <w:r>
        <w:separator/>
      </w:r>
    </w:p>
  </w:endnote>
  <w:endnote w:type="continuationSeparator" w:id="0">
    <w:p w14:paraId="118B0421" w14:textId="77777777" w:rsidR="003321C8" w:rsidRDefault="003321C8" w:rsidP="00A9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CAB1B" w14:textId="7E69BAE8" w:rsidR="00D4388A" w:rsidRDefault="00D4388A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9344148" wp14:editId="2A1C0B5D">
          <wp:simplePos x="0" y="0"/>
          <wp:positionH relativeFrom="page">
            <wp:posOffset>-5797</wp:posOffset>
          </wp:positionH>
          <wp:positionV relativeFrom="paragraph">
            <wp:posOffset>-116840</wp:posOffset>
          </wp:positionV>
          <wp:extent cx="7836195" cy="731713"/>
          <wp:effectExtent l="0" t="0" r="0" b="0"/>
          <wp:wrapNone/>
          <wp:docPr id="1514169479" name="Picture 15141694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6195" cy="731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208B2" w14:textId="77777777" w:rsidR="003321C8" w:rsidRDefault="003321C8" w:rsidP="00A91299">
      <w:pPr>
        <w:spacing w:after="0" w:line="240" w:lineRule="auto"/>
      </w:pPr>
      <w:r>
        <w:separator/>
      </w:r>
    </w:p>
  </w:footnote>
  <w:footnote w:type="continuationSeparator" w:id="0">
    <w:p w14:paraId="2F745696" w14:textId="77777777" w:rsidR="003321C8" w:rsidRDefault="003321C8" w:rsidP="00A9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C4B4B" w14:textId="48D7A450" w:rsidR="000B3B0A" w:rsidRDefault="000B3B0A" w:rsidP="000B3B0A">
    <w:pPr>
      <w:pStyle w:val="NormalWeb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AD8B45E" wp14:editId="502006E6">
          <wp:simplePos x="0" y="0"/>
          <wp:positionH relativeFrom="column">
            <wp:posOffset>-799603</wp:posOffset>
          </wp:positionH>
          <wp:positionV relativeFrom="paragraph">
            <wp:posOffset>-712139</wp:posOffset>
          </wp:positionV>
          <wp:extent cx="7869600" cy="1105200"/>
          <wp:effectExtent l="0" t="0" r="0" b="0"/>
          <wp:wrapNone/>
          <wp:docPr id="1300138790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0138790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9600" cy="11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E14E0F" w14:textId="38834534" w:rsidR="00D4388A" w:rsidRDefault="00D438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C71E6"/>
    <w:multiLevelType w:val="hybridMultilevel"/>
    <w:tmpl w:val="E95619B4"/>
    <w:lvl w:ilvl="0" w:tplc="3D506F6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1444D"/>
    <w:multiLevelType w:val="hybridMultilevel"/>
    <w:tmpl w:val="0C34A0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E71D1"/>
    <w:multiLevelType w:val="hybridMultilevel"/>
    <w:tmpl w:val="F3C21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C1640"/>
    <w:multiLevelType w:val="hybridMultilevel"/>
    <w:tmpl w:val="A9DAB4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9661D"/>
    <w:multiLevelType w:val="hybridMultilevel"/>
    <w:tmpl w:val="4C64063A"/>
    <w:lvl w:ilvl="0" w:tplc="558C66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2E1679"/>
    <w:multiLevelType w:val="hybridMultilevel"/>
    <w:tmpl w:val="D68AF06C"/>
    <w:lvl w:ilvl="0" w:tplc="3EA254D0">
      <w:start w:val="1"/>
      <w:numFmt w:val="upperRoman"/>
      <w:lvlText w:val="%1."/>
      <w:lvlJc w:val="left"/>
      <w:pPr>
        <w:ind w:left="918" w:hanging="492"/>
      </w:pPr>
      <w:rPr>
        <w:rFonts w:ascii="Times New Roman" w:eastAsia="Times New Roman" w:hAnsi="Times New Roman" w:cs="Times New Roman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4D32DFC"/>
    <w:multiLevelType w:val="hybridMultilevel"/>
    <w:tmpl w:val="E2B6EDB6"/>
    <w:lvl w:ilvl="0" w:tplc="85D0DEDE">
      <w:start w:val="1"/>
      <w:numFmt w:val="bullet"/>
      <w:lvlText w:val="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81768"/>
    <w:multiLevelType w:val="hybridMultilevel"/>
    <w:tmpl w:val="2F7E6EE4"/>
    <w:lvl w:ilvl="0" w:tplc="8DF443B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B374C1"/>
    <w:multiLevelType w:val="multilevel"/>
    <w:tmpl w:val="BB8C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0A56038"/>
    <w:multiLevelType w:val="hybridMultilevel"/>
    <w:tmpl w:val="55704216"/>
    <w:lvl w:ilvl="0" w:tplc="5172DE1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0733E2"/>
    <w:multiLevelType w:val="hybridMultilevel"/>
    <w:tmpl w:val="29589150"/>
    <w:lvl w:ilvl="0" w:tplc="33465308">
      <w:start w:val="1"/>
      <w:numFmt w:val="bullet"/>
      <w:lvlText w:val="۷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283987">
    <w:abstractNumId w:val="8"/>
  </w:num>
  <w:num w:numId="2" w16cid:durableId="1812286730">
    <w:abstractNumId w:val="4"/>
  </w:num>
  <w:num w:numId="3" w16cid:durableId="1035497355">
    <w:abstractNumId w:val="2"/>
  </w:num>
  <w:num w:numId="4" w16cid:durableId="1784110708">
    <w:abstractNumId w:val="7"/>
  </w:num>
  <w:num w:numId="5" w16cid:durableId="488522939">
    <w:abstractNumId w:val="3"/>
  </w:num>
  <w:num w:numId="6" w16cid:durableId="2124767545">
    <w:abstractNumId w:val="1"/>
  </w:num>
  <w:num w:numId="7" w16cid:durableId="48697248">
    <w:abstractNumId w:val="6"/>
  </w:num>
  <w:num w:numId="8" w16cid:durableId="689375648">
    <w:abstractNumId w:val="10"/>
  </w:num>
  <w:num w:numId="9" w16cid:durableId="2105879100">
    <w:abstractNumId w:val="9"/>
  </w:num>
  <w:num w:numId="10" w16cid:durableId="1954440417">
    <w:abstractNumId w:val="5"/>
  </w:num>
  <w:num w:numId="11" w16cid:durableId="1546335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9279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B6"/>
    <w:rsid w:val="00025312"/>
    <w:rsid w:val="00032480"/>
    <w:rsid w:val="00036241"/>
    <w:rsid w:val="00050EE3"/>
    <w:rsid w:val="00051F02"/>
    <w:rsid w:val="0005394D"/>
    <w:rsid w:val="00096197"/>
    <w:rsid w:val="000A25F6"/>
    <w:rsid w:val="000B3B0A"/>
    <w:rsid w:val="000E05D6"/>
    <w:rsid w:val="00132A43"/>
    <w:rsid w:val="00133705"/>
    <w:rsid w:val="00146AAC"/>
    <w:rsid w:val="00147873"/>
    <w:rsid w:val="00147E66"/>
    <w:rsid w:val="001564E0"/>
    <w:rsid w:val="00182FCA"/>
    <w:rsid w:val="001E1B5D"/>
    <w:rsid w:val="001E2F4E"/>
    <w:rsid w:val="00203E62"/>
    <w:rsid w:val="00214BBB"/>
    <w:rsid w:val="00224B92"/>
    <w:rsid w:val="00232813"/>
    <w:rsid w:val="00236E75"/>
    <w:rsid w:val="00245375"/>
    <w:rsid w:val="00263B97"/>
    <w:rsid w:val="00280845"/>
    <w:rsid w:val="00291BCD"/>
    <w:rsid w:val="002A5FC8"/>
    <w:rsid w:val="002C36D9"/>
    <w:rsid w:val="002C7987"/>
    <w:rsid w:val="002D56D3"/>
    <w:rsid w:val="002E0AD9"/>
    <w:rsid w:val="002E68D9"/>
    <w:rsid w:val="002F3F07"/>
    <w:rsid w:val="003242FA"/>
    <w:rsid w:val="0033161A"/>
    <w:rsid w:val="003321C8"/>
    <w:rsid w:val="00346EF3"/>
    <w:rsid w:val="0035029A"/>
    <w:rsid w:val="00356D54"/>
    <w:rsid w:val="003A4622"/>
    <w:rsid w:val="003F4F69"/>
    <w:rsid w:val="0040313A"/>
    <w:rsid w:val="00406321"/>
    <w:rsid w:val="004262B9"/>
    <w:rsid w:val="0042668E"/>
    <w:rsid w:val="00433B81"/>
    <w:rsid w:val="00445D40"/>
    <w:rsid w:val="004570B6"/>
    <w:rsid w:val="00461ECE"/>
    <w:rsid w:val="004E77A8"/>
    <w:rsid w:val="004F22FE"/>
    <w:rsid w:val="00506343"/>
    <w:rsid w:val="00511826"/>
    <w:rsid w:val="00514857"/>
    <w:rsid w:val="00532E64"/>
    <w:rsid w:val="00536160"/>
    <w:rsid w:val="00552C9D"/>
    <w:rsid w:val="005C3B02"/>
    <w:rsid w:val="005E7D62"/>
    <w:rsid w:val="00611A62"/>
    <w:rsid w:val="00612A14"/>
    <w:rsid w:val="00613880"/>
    <w:rsid w:val="006149C3"/>
    <w:rsid w:val="006306D0"/>
    <w:rsid w:val="0064306D"/>
    <w:rsid w:val="006465F7"/>
    <w:rsid w:val="006826DB"/>
    <w:rsid w:val="006921EC"/>
    <w:rsid w:val="006A7EC6"/>
    <w:rsid w:val="006E5DDF"/>
    <w:rsid w:val="006E618E"/>
    <w:rsid w:val="006F47DE"/>
    <w:rsid w:val="006F7DDE"/>
    <w:rsid w:val="00701A75"/>
    <w:rsid w:val="007032EF"/>
    <w:rsid w:val="007121E2"/>
    <w:rsid w:val="00721960"/>
    <w:rsid w:val="007223A6"/>
    <w:rsid w:val="00757DE4"/>
    <w:rsid w:val="00785850"/>
    <w:rsid w:val="00790F82"/>
    <w:rsid w:val="007923A0"/>
    <w:rsid w:val="00797A10"/>
    <w:rsid w:val="007B0407"/>
    <w:rsid w:val="007B242C"/>
    <w:rsid w:val="007B30C7"/>
    <w:rsid w:val="007B7846"/>
    <w:rsid w:val="007C2EF4"/>
    <w:rsid w:val="007D261F"/>
    <w:rsid w:val="007D6151"/>
    <w:rsid w:val="007E760E"/>
    <w:rsid w:val="00817BBD"/>
    <w:rsid w:val="00820301"/>
    <w:rsid w:val="008265DA"/>
    <w:rsid w:val="00835347"/>
    <w:rsid w:val="008517AC"/>
    <w:rsid w:val="008A7D68"/>
    <w:rsid w:val="008D5C19"/>
    <w:rsid w:val="008F2670"/>
    <w:rsid w:val="008F57EC"/>
    <w:rsid w:val="009119D3"/>
    <w:rsid w:val="00913E3A"/>
    <w:rsid w:val="0092686A"/>
    <w:rsid w:val="00970CDF"/>
    <w:rsid w:val="00985FB5"/>
    <w:rsid w:val="00991B30"/>
    <w:rsid w:val="009A6C52"/>
    <w:rsid w:val="009B7D70"/>
    <w:rsid w:val="009C40EE"/>
    <w:rsid w:val="009C4D59"/>
    <w:rsid w:val="00A11EDB"/>
    <w:rsid w:val="00A1352D"/>
    <w:rsid w:val="00A16079"/>
    <w:rsid w:val="00A16867"/>
    <w:rsid w:val="00A3117C"/>
    <w:rsid w:val="00A637F7"/>
    <w:rsid w:val="00A854AC"/>
    <w:rsid w:val="00A87410"/>
    <w:rsid w:val="00A91299"/>
    <w:rsid w:val="00A9240B"/>
    <w:rsid w:val="00A965F5"/>
    <w:rsid w:val="00A96926"/>
    <w:rsid w:val="00AA1036"/>
    <w:rsid w:val="00AA1DEB"/>
    <w:rsid w:val="00AA2BA2"/>
    <w:rsid w:val="00AA3577"/>
    <w:rsid w:val="00AB530A"/>
    <w:rsid w:val="00AE3E59"/>
    <w:rsid w:val="00AF1B96"/>
    <w:rsid w:val="00B05E77"/>
    <w:rsid w:val="00B16DD2"/>
    <w:rsid w:val="00B74D85"/>
    <w:rsid w:val="00B85160"/>
    <w:rsid w:val="00C03C05"/>
    <w:rsid w:val="00C06D70"/>
    <w:rsid w:val="00C07310"/>
    <w:rsid w:val="00C10B2F"/>
    <w:rsid w:val="00C326B3"/>
    <w:rsid w:val="00C36D01"/>
    <w:rsid w:val="00C529B1"/>
    <w:rsid w:val="00C5729E"/>
    <w:rsid w:val="00C74692"/>
    <w:rsid w:val="00CC7805"/>
    <w:rsid w:val="00D02980"/>
    <w:rsid w:val="00D0621B"/>
    <w:rsid w:val="00D25500"/>
    <w:rsid w:val="00D4388A"/>
    <w:rsid w:val="00D479C1"/>
    <w:rsid w:val="00D666A0"/>
    <w:rsid w:val="00D76E14"/>
    <w:rsid w:val="00D82CE6"/>
    <w:rsid w:val="00D8307C"/>
    <w:rsid w:val="00DB3232"/>
    <w:rsid w:val="00DB3F82"/>
    <w:rsid w:val="00DD4D47"/>
    <w:rsid w:val="00E4373E"/>
    <w:rsid w:val="00E71471"/>
    <w:rsid w:val="00E961CB"/>
    <w:rsid w:val="00EB4CA0"/>
    <w:rsid w:val="00EC54EA"/>
    <w:rsid w:val="00EC73E0"/>
    <w:rsid w:val="00ED6DC5"/>
    <w:rsid w:val="00ED7D4E"/>
    <w:rsid w:val="00EF2831"/>
    <w:rsid w:val="00F0398F"/>
    <w:rsid w:val="00F666D3"/>
    <w:rsid w:val="00FD2BF1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6B95A"/>
  <w15:chartTrackingRefBased/>
  <w15:docId w15:val="{FAA53DCC-8B36-4553-88A7-85536573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7E6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147E6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2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299"/>
  </w:style>
  <w:style w:type="paragraph" w:styleId="Footer">
    <w:name w:val="footer"/>
    <w:basedOn w:val="Normal"/>
    <w:link w:val="FooterChar"/>
    <w:uiPriority w:val="99"/>
    <w:unhideWhenUsed/>
    <w:rsid w:val="00A912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299"/>
  </w:style>
  <w:style w:type="character" w:styleId="Hyperlink">
    <w:name w:val="Hyperlink"/>
    <w:basedOn w:val="DefaultParagraphFont"/>
    <w:unhideWhenUsed/>
    <w:rsid w:val="00A912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12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9129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B3F82"/>
    <w:pPr>
      <w:spacing w:after="0" w:line="240" w:lineRule="auto"/>
    </w:pPr>
  </w:style>
  <w:style w:type="paragraph" w:customStyle="1" w:styleId="v1msonormal">
    <w:name w:val="v1msonormal"/>
    <w:basedOn w:val="Normal"/>
    <w:rsid w:val="0055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msolistparagraph">
    <w:name w:val="v1msolistparagraph"/>
    <w:basedOn w:val="Normal"/>
    <w:rsid w:val="0055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32E6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6D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47E66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147E66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47E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47E66"/>
    <w:pPr>
      <w:spacing w:after="0" w:line="240" w:lineRule="auto"/>
    </w:pPr>
    <w:rPr>
      <w:rFonts w:ascii="Consolas" w:eastAsia="Calibri" w:hAnsi="Consolas" w:cs="Times New Roman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47E66"/>
    <w:rPr>
      <w:rFonts w:ascii="Consolas" w:eastAsia="Calibri" w:hAnsi="Consolas" w:cs="Times New Roman"/>
      <w:sz w:val="21"/>
      <w:szCs w:val="21"/>
      <w:lang w:val="bg-BG"/>
    </w:rPr>
  </w:style>
  <w:style w:type="character" w:styleId="Strong">
    <w:name w:val="Strong"/>
    <w:uiPriority w:val="22"/>
    <w:qFormat/>
    <w:rsid w:val="00147E66"/>
    <w:rPr>
      <w:b/>
      <w:bCs/>
    </w:rPr>
  </w:style>
  <w:style w:type="paragraph" w:customStyle="1" w:styleId="p19">
    <w:name w:val="p19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t2">
    <w:name w:val="t2"/>
    <w:basedOn w:val="DefaultParagraphFont"/>
    <w:rsid w:val="00147E66"/>
  </w:style>
  <w:style w:type="paragraph" w:customStyle="1" w:styleId="p25">
    <w:name w:val="p25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2">
    <w:name w:val="p22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6">
    <w:name w:val="p26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9">
    <w:name w:val="p29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2">
    <w:name w:val="p32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0">
    <w:name w:val="p30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3">
    <w:name w:val="p33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1">
    <w:name w:val="p31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PageNumber">
    <w:name w:val="page number"/>
    <w:basedOn w:val="DefaultParagraphFont"/>
    <w:rsid w:val="00147E66"/>
  </w:style>
  <w:style w:type="paragraph" w:styleId="BalloonText">
    <w:name w:val="Balloon Text"/>
    <w:basedOn w:val="Normal"/>
    <w:link w:val="BalloonTextChar"/>
    <w:uiPriority w:val="99"/>
    <w:semiHidden/>
    <w:unhideWhenUsed/>
    <w:rsid w:val="00147E66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E66"/>
    <w:rPr>
      <w:rFonts w:ascii="Segoe UI" w:eastAsia="Times New Roman" w:hAnsi="Segoe UI" w:cs="Segoe UI"/>
      <w:sz w:val="18"/>
      <w:szCs w:val="18"/>
    </w:rPr>
  </w:style>
  <w:style w:type="paragraph" w:customStyle="1" w:styleId="1">
    <w:name w:val="Списък на абзаци1"/>
    <w:basedOn w:val="Normal"/>
    <w:rsid w:val="00147E6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styleId="CommentReference">
    <w:name w:val="annotation reference"/>
    <w:uiPriority w:val="99"/>
    <w:semiHidden/>
    <w:unhideWhenUsed/>
    <w:rsid w:val="00147E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7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7E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E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E6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B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6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3F0E7-A205-4788-B128-5040DB3D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853</Words>
  <Characters>4863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Stajant Stajant</dc:creator>
  <cp:keywords/>
  <dc:description/>
  <cp:lastModifiedBy>Запрян Игнатов</cp:lastModifiedBy>
  <cp:revision>2</cp:revision>
  <dcterms:created xsi:type="dcterms:W3CDTF">2025-01-13T13:08:00Z</dcterms:created>
  <dcterms:modified xsi:type="dcterms:W3CDTF">2025-01-13T13:08:00Z</dcterms:modified>
</cp:coreProperties>
</file>